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78" w:rsidRDefault="00F52678"/>
    <w:p w:rsidR="00BA7250" w:rsidRDefault="00BA7250" w:rsidP="00BA7250">
      <w:pPr>
        <w:pStyle w:val="Cm"/>
        <w:jc w:val="center"/>
      </w:pPr>
      <w:r>
        <w:t>VINCE Projek</w:t>
      </w:r>
      <w:r w:rsidRPr="00B10432">
        <w:t>t</w:t>
      </w:r>
    </w:p>
    <w:p w:rsidR="00BA7250" w:rsidRDefault="00BA7250" w:rsidP="00BA7250">
      <w:pPr>
        <w:pStyle w:val="Alcm"/>
        <w:jc w:val="center"/>
      </w:pPr>
    </w:p>
    <w:p w:rsidR="00BA7250" w:rsidRDefault="00BA7250" w:rsidP="00BA7250">
      <w:pPr>
        <w:spacing w:after="0"/>
        <w:rPr>
          <w:rFonts w:ascii="Cambria" w:hAnsi="Cambria"/>
          <w:sz w:val="24"/>
          <w:szCs w:val="24"/>
        </w:rPr>
      </w:pPr>
    </w:p>
    <w:p w:rsidR="00BA7250" w:rsidRDefault="00BA7250" w:rsidP="00BA7250">
      <w:pPr>
        <w:pStyle w:val="Cmsor1"/>
      </w:pPr>
      <w:r>
        <w:t>Projekt célok</w:t>
      </w:r>
    </w:p>
    <w:p w:rsidR="00BA7250" w:rsidRDefault="00BA7250" w:rsidP="00BA7250">
      <w:pPr>
        <w:spacing w:after="0"/>
        <w:rPr>
          <w:rFonts w:ascii="Cambria" w:hAnsi="Cambria"/>
          <w:sz w:val="24"/>
          <w:szCs w:val="24"/>
        </w:rPr>
      </w:pPr>
    </w:p>
    <w:p w:rsidR="00BA7250" w:rsidRDefault="00BA7250" w:rsidP="00BA7250">
      <w:pPr>
        <w:pStyle w:val="Listaszerbekezds"/>
        <w:numPr>
          <w:ilvl w:val="0"/>
          <w:numId w:val="1"/>
        </w:numPr>
        <w:spacing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Hátrányos helyzetű tanulók befogadásának előmozdítása, különös </w:t>
      </w:r>
      <w:proofErr w:type="gramStart"/>
      <w:r>
        <w:rPr>
          <w:rFonts w:ascii="Cambria" w:hAnsi="Cambria"/>
          <w:sz w:val="24"/>
          <w:szCs w:val="24"/>
        </w:rPr>
        <w:t>tekintettel</w:t>
      </w:r>
      <w:proofErr w:type="gramEnd"/>
      <w:r>
        <w:rPr>
          <w:rFonts w:ascii="Cambria" w:hAnsi="Cambria"/>
          <w:sz w:val="24"/>
          <w:szCs w:val="24"/>
        </w:rPr>
        <w:t xml:space="preserve"> a migráns háttérrel rendelkezőkre, ugyanakkor a velük szemben megjelenő diszkrimináló gyakorlat megelőzése, kivédése;</w:t>
      </w:r>
    </w:p>
    <w:p w:rsidR="00BA7250" w:rsidRDefault="00BA7250" w:rsidP="00BA7250">
      <w:pPr>
        <w:pStyle w:val="Listaszerbekezds"/>
        <w:numPr>
          <w:ilvl w:val="0"/>
          <w:numId w:val="1"/>
        </w:numPr>
        <w:spacing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Az általánosan elérhető minőségi képzési rendszerbe való bejutásuk előmozdítása, a hátrányos helyzetű tanulók igényeire </w:t>
      </w:r>
      <w:proofErr w:type="gramStart"/>
      <w:r>
        <w:rPr>
          <w:rFonts w:ascii="Cambria" w:hAnsi="Cambria"/>
          <w:sz w:val="24"/>
          <w:szCs w:val="24"/>
        </w:rPr>
        <w:t>koncentrálva</w:t>
      </w:r>
      <w:proofErr w:type="gramEnd"/>
      <w:r>
        <w:rPr>
          <w:rFonts w:ascii="Cambria" w:hAnsi="Cambria"/>
          <w:sz w:val="24"/>
          <w:szCs w:val="24"/>
        </w:rPr>
        <w:t>;</w:t>
      </w:r>
    </w:p>
    <w:p w:rsidR="00BA7250" w:rsidRDefault="00BA7250" w:rsidP="00BA7250">
      <w:pPr>
        <w:pStyle w:val="Listaszerbekezds"/>
        <w:numPr>
          <w:ilvl w:val="0"/>
          <w:numId w:val="1"/>
        </w:numPr>
        <w:spacing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képzési nyelv elsajátításának megkönnyítése az újonnan érkezők számára;</w:t>
      </w:r>
    </w:p>
    <w:p w:rsidR="00BA7250" w:rsidRDefault="00BA7250" w:rsidP="00BA7250">
      <w:pPr>
        <w:pStyle w:val="Listaszerbekezds"/>
        <w:numPr>
          <w:ilvl w:val="0"/>
          <w:numId w:val="1"/>
        </w:numPr>
        <w:spacing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Az újonnan érkező migránsok tudásának felmérése tanulmányaik megkezdése előtt;</w:t>
      </w:r>
    </w:p>
    <w:p w:rsidR="00BA7250" w:rsidRDefault="00BA7250" w:rsidP="00BA7250">
      <w:pPr>
        <w:pStyle w:val="Listaszerbekezds"/>
        <w:numPr>
          <w:ilvl w:val="0"/>
          <w:numId w:val="1"/>
        </w:numPr>
        <w:spacing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Transznacionális együttműködés a fiatalok képzése területén;</w:t>
      </w:r>
    </w:p>
    <w:p w:rsidR="00BA7250" w:rsidRPr="00B10432" w:rsidRDefault="00BA7250" w:rsidP="00BA7250">
      <w:pPr>
        <w:pStyle w:val="Listaszerbekezds"/>
        <w:numPr>
          <w:ilvl w:val="0"/>
          <w:numId w:val="1"/>
        </w:numPr>
        <w:spacing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Más európai projektek bevonása, különösen az Erasmus+ és hasonló korábbi európai uniós program köréből, melyek a civil képzések területén történnek, de a befogadás és az interkulturális megértés köré szerveződnek.</w:t>
      </w:r>
    </w:p>
    <w:p w:rsidR="00BA7250" w:rsidRDefault="00BA7250" w:rsidP="00BA7250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BA7250" w:rsidRDefault="00BA7250" w:rsidP="00BA7250">
      <w:pPr>
        <w:spacing w:after="0"/>
        <w:rPr>
          <w:rFonts w:ascii="Cambria" w:hAnsi="Cambria" w:cs="Verdana"/>
          <w:sz w:val="24"/>
          <w:szCs w:val="24"/>
        </w:rPr>
      </w:pPr>
    </w:p>
    <w:p w:rsidR="00BA7250" w:rsidRDefault="00BA7250" w:rsidP="00BA7250">
      <w:pPr>
        <w:pStyle w:val="Cmsor1"/>
      </w:pPr>
      <w:r>
        <w:t>A projekt résztvevői</w:t>
      </w:r>
    </w:p>
    <w:p w:rsidR="00BA7250" w:rsidRDefault="00BA7250" w:rsidP="00BA7250">
      <w:pPr>
        <w:spacing w:after="0"/>
        <w:rPr>
          <w:rFonts w:ascii="Cambria" w:hAnsi="Cambria" w:cs="Verdana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BA7250" w:rsidTr="008A1733">
        <w:tc>
          <w:tcPr>
            <w:tcW w:w="1413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Partner 1</w:t>
            </w:r>
          </w:p>
        </w:tc>
        <w:tc>
          <w:tcPr>
            <w:tcW w:w="4628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 w:rsidRPr="00B8111F">
              <w:rPr>
                <w:rFonts w:ascii="Cambria" w:hAnsi="Cambria" w:cs="Verdana"/>
                <w:b/>
                <w:sz w:val="24"/>
                <w:szCs w:val="24"/>
              </w:rPr>
              <w:t>EUCEN</w:t>
            </w:r>
            <w:r>
              <w:rPr>
                <w:rFonts w:ascii="Cambria" w:hAnsi="Cambria" w:cs="Verdana"/>
                <w:sz w:val="24"/>
                <w:szCs w:val="24"/>
              </w:rPr>
              <w:t xml:space="preserve"> - </w:t>
            </w:r>
            <w:r w:rsidRPr="00B10432">
              <w:rPr>
                <w:rFonts w:ascii="Cambria" w:hAnsi="Cambria" w:cs="HelveticaNeue"/>
                <w:sz w:val="24"/>
                <w:szCs w:val="24"/>
              </w:rPr>
              <w:t xml:space="preserve">European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university</w:t>
            </w:r>
            <w:proofErr w:type="spellEnd"/>
            <w:r w:rsidRPr="00B10432">
              <w:rPr>
                <w:rFonts w:ascii="Cambria" w:hAnsi="Cambria" w:cs="HelveticaNeue"/>
                <w:sz w:val="24"/>
                <w:szCs w:val="24"/>
              </w:rPr>
              <w:t xml:space="preserve">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continuing</w:t>
            </w:r>
            <w:proofErr w:type="spellEnd"/>
            <w:r w:rsidRPr="00B10432">
              <w:rPr>
                <w:rFonts w:ascii="Cambria" w:hAnsi="Cambria" w:cs="HelveticaNeue"/>
                <w:sz w:val="24"/>
                <w:szCs w:val="24"/>
              </w:rPr>
              <w:t xml:space="preserve">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education</w:t>
            </w:r>
            <w:proofErr w:type="spellEnd"/>
            <w:r w:rsidRPr="00B10432">
              <w:rPr>
                <w:rFonts w:ascii="Cambria" w:hAnsi="Cambria" w:cs="HelveticaNeue"/>
                <w:sz w:val="24"/>
                <w:szCs w:val="24"/>
              </w:rPr>
              <w:t xml:space="preserve">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network</w:t>
            </w:r>
            <w:proofErr w:type="spellEnd"/>
          </w:p>
        </w:tc>
        <w:tc>
          <w:tcPr>
            <w:tcW w:w="3021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nemzetközi szervezet, 1991, 179 tag</w:t>
            </w:r>
          </w:p>
        </w:tc>
      </w:tr>
      <w:tr w:rsidR="00BA7250" w:rsidTr="008A1733">
        <w:tc>
          <w:tcPr>
            <w:tcW w:w="1413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Partner 2</w:t>
            </w:r>
          </w:p>
        </w:tc>
        <w:tc>
          <w:tcPr>
            <w:tcW w:w="4628" w:type="dxa"/>
          </w:tcPr>
          <w:p w:rsidR="00BA7250" w:rsidRPr="00B8111F" w:rsidRDefault="00BA7250" w:rsidP="008A1733">
            <w:pPr>
              <w:autoSpaceDE w:val="0"/>
              <w:autoSpaceDN w:val="0"/>
              <w:adjustRightInd w:val="0"/>
              <w:rPr>
                <w:rFonts w:ascii="Cambria" w:hAnsi="Cambria" w:cs="HelveticaNeue"/>
                <w:sz w:val="24"/>
                <w:szCs w:val="24"/>
              </w:rPr>
            </w:pPr>
            <w:r w:rsidRPr="00B8111F">
              <w:rPr>
                <w:rFonts w:ascii="Cambria" w:hAnsi="Cambria" w:cs="Verdana"/>
                <w:b/>
                <w:sz w:val="24"/>
                <w:szCs w:val="24"/>
              </w:rPr>
              <w:t>SOLIDAR</w:t>
            </w:r>
            <w:r>
              <w:rPr>
                <w:rFonts w:ascii="Cambria" w:hAnsi="Cambria" w:cs="Verdana"/>
                <w:sz w:val="24"/>
                <w:szCs w:val="24"/>
              </w:rPr>
              <w:t xml:space="preserve"> - </w:t>
            </w:r>
            <w:proofErr w:type="gramStart"/>
            <w:r w:rsidRPr="00B10432">
              <w:rPr>
                <w:rFonts w:ascii="Cambria" w:hAnsi="Cambria" w:cs="HelveticaNeue"/>
                <w:sz w:val="24"/>
                <w:szCs w:val="24"/>
              </w:rPr>
              <w:t>a</w:t>
            </w:r>
            <w:proofErr w:type="gramEnd"/>
            <w:r w:rsidRPr="00B10432">
              <w:rPr>
                <w:rFonts w:ascii="Cambria" w:hAnsi="Cambria" w:cs="HelveticaNeue"/>
                <w:sz w:val="24"/>
                <w:szCs w:val="24"/>
              </w:rPr>
              <w:t xml:space="preserve"> European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network</w:t>
            </w:r>
            <w:proofErr w:type="spellEnd"/>
            <w:r w:rsidRPr="00B10432">
              <w:rPr>
                <w:rFonts w:ascii="Cambria" w:hAnsi="Cambria" w:cs="HelveticaNeue"/>
                <w:sz w:val="24"/>
                <w:szCs w:val="24"/>
              </w:rPr>
              <w:t xml:space="preserve"> of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NGOs</w:t>
            </w:r>
            <w:proofErr w:type="spellEnd"/>
            <w:r w:rsidRPr="00B10432">
              <w:rPr>
                <w:rFonts w:ascii="Cambria" w:hAnsi="Cambria" w:cs="HelveticaNeue"/>
                <w:sz w:val="24"/>
                <w:szCs w:val="24"/>
              </w:rPr>
              <w:t xml:space="preserve">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working</w:t>
            </w:r>
            <w:proofErr w:type="spellEnd"/>
            <w:r w:rsidRPr="00B10432">
              <w:rPr>
                <w:rFonts w:ascii="Cambria" w:hAnsi="Cambria" w:cs="HelveticaNeue"/>
                <w:sz w:val="24"/>
                <w:szCs w:val="24"/>
              </w:rPr>
              <w:t xml:space="preserve">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to</w:t>
            </w:r>
            <w:proofErr w:type="spellEnd"/>
            <w:r>
              <w:rPr>
                <w:rFonts w:ascii="Cambria" w:hAnsi="Cambria" w:cs="HelveticaNeue"/>
                <w:sz w:val="24"/>
                <w:szCs w:val="24"/>
              </w:rPr>
              <w:t xml:space="preserve">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advance</w:t>
            </w:r>
            <w:proofErr w:type="spellEnd"/>
            <w:r w:rsidRPr="00B10432">
              <w:rPr>
                <w:rFonts w:ascii="Cambria" w:hAnsi="Cambria" w:cs="HelveticaNeue"/>
                <w:sz w:val="24"/>
                <w:szCs w:val="24"/>
              </w:rPr>
              <w:t xml:space="preserve">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social</w:t>
            </w:r>
            <w:proofErr w:type="spellEnd"/>
            <w:r w:rsidRPr="00B10432">
              <w:rPr>
                <w:rFonts w:ascii="Cambria" w:hAnsi="Cambria" w:cs="HelveticaNeue"/>
                <w:sz w:val="24"/>
                <w:szCs w:val="24"/>
              </w:rPr>
              <w:t xml:space="preserve">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justice</w:t>
            </w:r>
            <w:proofErr w:type="spellEnd"/>
            <w:r w:rsidRPr="00B10432">
              <w:rPr>
                <w:rFonts w:ascii="Cambria" w:hAnsi="Cambria" w:cs="HelveticaNeue"/>
                <w:sz w:val="24"/>
                <w:szCs w:val="24"/>
              </w:rPr>
              <w:t xml:space="preserve"> in Europe and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worldwide</w:t>
            </w:r>
            <w:proofErr w:type="spellEnd"/>
          </w:p>
        </w:tc>
        <w:tc>
          <w:tcPr>
            <w:tcW w:w="3021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nemzetközi szervezet, 60 tag</w:t>
            </w:r>
          </w:p>
        </w:tc>
      </w:tr>
      <w:tr w:rsidR="00BA7250" w:rsidTr="008A1733">
        <w:tc>
          <w:tcPr>
            <w:tcW w:w="1413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Partner 3</w:t>
            </w:r>
          </w:p>
        </w:tc>
        <w:tc>
          <w:tcPr>
            <w:tcW w:w="4628" w:type="dxa"/>
          </w:tcPr>
          <w:p w:rsidR="00BA7250" w:rsidRPr="00B10432" w:rsidRDefault="00BA7250" w:rsidP="008A1733">
            <w:pPr>
              <w:rPr>
                <w:rFonts w:ascii="Cambria" w:hAnsi="Cambria" w:cs="HelveticaNeue"/>
                <w:sz w:val="24"/>
                <w:szCs w:val="24"/>
              </w:rPr>
            </w:pPr>
            <w:r w:rsidRPr="00B8111F">
              <w:rPr>
                <w:rFonts w:ascii="Cambria" w:hAnsi="Cambria" w:cs="HelveticaNeue"/>
                <w:b/>
                <w:sz w:val="24"/>
                <w:szCs w:val="24"/>
              </w:rPr>
              <w:t>UBO</w:t>
            </w:r>
            <w:r>
              <w:rPr>
                <w:rFonts w:ascii="Cambria" w:hAnsi="Cambria" w:cs="HelveticaNeue"/>
                <w:sz w:val="24"/>
                <w:szCs w:val="24"/>
              </w:rPr>
              <w:t xml:space="preserve"> -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Université</w:t>
            </w:r>
            <w:proofErr w:type="spellEnd"/>
            <w:r w:rsidRPr="00B10432">
              <w:rPr>
                <w:rFonts w:ascii="Cambria" w:hAnsi="Cambria" w:cs="HelveticaNeue"/>
                <w:sz w:val="24"/>
                <w:szCs w:val="24"/>
              </w:rPr>
              <w:t xml:space="preserve"> de Bretagne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Occidentale</w:t>
            </w:r>
            <w:proofErr w:type="spellEnd"/>
          </w:p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</w:p>
        </w:tc>
        <w:tc>
          <w:tcPr>
            <w:tcW w:w="3021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franciaországi egyetem, 21000 hallgató</w:t>
            </w:r>
          </w:p>
        </w:tc>
      </w:tr>
      <w:tr w:rsidR="00BA7250" w:rsidTr="008A1733">
        <w:tc>
          <w:tcPr>
            <w:tcW w:w="1413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Partner 4</w:t>
            </w:r>
          </w:p>
        </w:tc>
        <w:tc>
          <w:tcPr>
            <w:tcW w:w="4628" w:type="dxa"/>
          </w:tcPr>
          <w:p w:rsidR="00BA7250" w:rsidRPr="00B8111F" w:rsidRDefault="00BA7250" w:rsidP="008A1733">
            <w:pPr>
              <w:rPr>
                <w:rFonts w:ascii="Cambria" w:hAnsi="Cambria" w:cs="HelveticaNeue"/>
                <w:sz w:val="24"/>
                <w:szCs w:val="24"/>
              </w:rPr>
            </w:pPr>
            <w:r w:rsidRPr="00B8111F">
              <w:rPr>
                <w:rFonts w:ascii="Cambria" w:hAnsi="Cambria" w:cs="HelveticaNeue"/>
                <w:b/>
                <w:sz w:val="24"/>
                <w:szCs w:val="24"/>
              </w:rPr>
              <w:t>VIA</w:t>
            </w:r>
            <w:r w:rsidRPr="00B10432">
              <w:rPr>
                <w:rFonts w:ascii="Cambria" w:hAnsi="Cambria" w:cs="HelveticaNeue"/>
                <w:sz w:val="24"/>
                <w:szCs w:val="24"/>
              </w:rPr>
              <w:t xml:space="preserve"> University College</w:t>
            </w:r>
          </w:p>
        </w:tc>
        <w:tc>
          <w:tcPr>
            <w:tcW w:w="3021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Dánia legnagyobb alkalmazott tudományi egyeteme, 18000 hallgató</w:t>
            </w:r>
          </w:p>
        </w:tc>
      </w:tr>
      <w:tr w:rsidR="00BA7250" w:rsidTr="008A1733">
        <w:tc>
          <w:tcPr>
            <w:tcW w:w="1413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Partner 5</w:t>
            </w:r>
          </w:p>
        </w:tc>
        <w:tc>
          <w:tcPr>
            <w:tcW w:w="4628" w:type="dxa"/>
          </w:tcPr>
          <w:p w:rsidR="00BA7250" w:rsidRPr="00650CA3" w:rsidRDefault="00BA7250" w:rsidP="008A1733">
            <w:pPr>
              <w:rPr>
                <w:rFonts w:ascii="Cambria" w:hAnsi="Cambria" w:cs="Verdana"/>
                <w:b/>
                <w:sz w:val="24"/>
                <w:szCs w:val="24"/>
              </w:rPr>
            </w:pPr>
            <w:proofErr w:type="spellStart"/>
            <w:r w:rsidRPr="00650CA3">
              <w:rPr>
                <w:rFonts w:ascii="Cambria" w:hAnsi="Cambria" w:cs="Verdana"/>
                <w:b/>
                <w:sz w:val="24"/>
                <w:szCs w:val="24"/>
              </w:rPr>
              <w:t>Foundation</w:t>
            </w:r>
            <w:proofErr w:type="spellEnd"/>
            <w:r w:rsidRPr="00650CA3">
              <w:rPr>
                <w:rFonts w:ascii="Cambria" w:hAnsi="Cambria" w:cs="Verdana"/>
                <w:b/>
                <w:sz w:val="24"/>
                <w:szCs w:val="24"/>
              </w:rPr>
              <w:t xml:space="preserve"> European Centre </w:t>
            </w:r>
            <w:proofErr w:type="spellStart"/>
            <w:r w:rsidRPr="00650CA3">
              <w:rPr>
                <w:rFonts w:ascii="Cambria" w:hAnsi="Cambria" w:cs="Verdana"/>
                <w:b/>
                <w:sz w:val="24"/>
                <w:szCs w:val="24"/>
              </w:rPr>
              <w:t>Valuation</w:t>
            </w:r>
            <w:proofErr w:type="spellEnd"/>
            <w:r w:rsidRPr="00650CA3">
              <w:rPr>
                <w:rFonts w:ascii="Cambria" w:hAnsi="Cambria" w:cs="Verdana"/>
                <w:b/>
                <w:sz w:val="24"/>
                <w:szCs w:val="24"/>
              </w:rPr>
              <w:t xml:space="preserve"> Prior </w:t>
            </w:r>
            <w:proofErr w:type="spellStart"/>
            <w:r w:rsidRPr="00650CA3">
              <w:rPr>
                <w:rFonts w:ascii="Cambria" w:hAnsi="Cambria" w:cs="Verdana"/>
                <w:b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3021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2002, holland NGO</w:t>
            </w:r>
          </w:p>
        </w:tc>
      </w:tr>
      <w:tr w:rsidR="00BA7250" w:rsidTr="008A1733">
        <w:tc>
          <w:tcPr>
            <w:tcW w:w="1413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Partner 6</w:t>
            </w:r>
          </w:p>
        </w:tc>
        <w:tc>
          <w:tcPr>
            <w:tcW w:w="4628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 w:rsidRPr="003D69E6">
              <w:rPr>
                <w:rFonts w:ascii="Cambria" w:hAnsi="Cambria" w:cs="Verdana"/>
                <w:b/>
                <w:sz w:val="24"/>
                <w:szCs w:val="24"/>
              </w:rPr>
              <w:t>NOKUT</w:t>
            </w:r>
            <w:r>
              <w:rPr>
                <w:rFonts w:ascii="Cambria" w:hAnsi="Cambria" w:cs="Verdana"/>
                <w:sz w:val="24"/>
                <w:szCs w:val="24"/>
              </w:rPr>
              <w:t xml:space="preserve"> - </w:t>
            </w:r>
            <w:proofErr w:type="spellStart"/>
            <w:r w:rsidRPr="00B10432">
              <w:rPr>
                <w:rFonts w:ascii="Cambria" w:hAnsi="Cambria" w:cs="Verdana"/>
                <w:sz w:val="24"/>
                <w:szCs w:val="24"/>
              </w:rPr>
              <w:t>Norwegian</w:t>
            </w:r>
            <w:proofErr w:type="spellEnd"/>
            <w:r w:rsidRPr="00B10432">
              <w:rPr>
                <w:rFonts w:ascii="Cambria" w:hAnsi="Cambria" w:cs="Verdana"/>
                <w:sz w:val="24"/>
                <w:szCs w:val="24"/>
              </w:rPr>
              <w:t xml:space="preserve"> </w:t>
            </w:r>
            <w:proofErr w:type="spellStart"/>
            <w:r w:rsidRPr="00B10432">
              <w:rPr>
                <w:rFonts w:ascii="Cambria" w:hAnsi="Cambria" w:cs="Verdana"/>
                <w:sz w:val="24"/>
                <w:szCs w:val="24"/>
              </w:rPr>
              <w:t>Agency</w:t>
            </w:r>
            <w:proofErr w:type="spellEnd"/>
            <w:r w:rsidRPr="00B10432">
              <w:rPr>
                <w:rFonts w:ascii="Cambria" w:hAnsi="Cambria" w:cs="Verdana"/>
                <w:sz w:val="24"/>
                <w:szCs w:val="24"/>
              </w:rPr>
              <w:t xml:space="preserve"> </w:t>
            </w:r>
            <w:proofErr w:type="spellStart"/>
            <w:r w:rsidRPr="00B10432">
              <w:rPr>
                <w:rFonts w:ascii="Cambria" w:hAnsi="Cambria" w:cs="Verdana"/>
                <w:sz w:val="24"/>
                <w:szCs w:val="24"/>
              </w:rPr>
              <w:t>for</w:t>
            </w:r>
            <w:proofErr w:type="spellEnd"/>
            <w:r w:rsidRPr="00B10432">
              <w:rPr>
                <w:rFonts w:ascii="Cambria" w:hAnsi="Cambria" w:cs="Verdana"/>
                <w:sz w:val="24"/>
                <w:szCs w:val="24"/>
              </w:rPr>
              <w:t xml:space="preserve"> </w:t>
            </w:r>
            <w:proofErr w:type="spellStart"/>
            <w:r w:rsidRPr="00B10432">
              <w:rPr>
                <w:rFonts w:ascii="Cambria" w:hAnsi="Cambria" w:cs="Verdana"/>
                <w:sz w:val="24"/>
                <w:szCs w:val="24"/>
              </w:rPr>
              <w:t>Quality</w:t>
            </w:r>
            <w:proofErr w:type="spellEnd"/>
            <w:r w:rsidRPr="00B10432">
              <w:rPr>
                <w:rFonts w:ascii="Cambria" w:hAnsi="Cambria" w:cs="Verdana"/>
                <w:sz w:val="24"/>
                <w:szCs w:val="24"/>
              </w:rPr>
              <w:t xml:space="preserve"> </w:t>
            </w:r>
            <w:proofErr w:type="spellStart"/>
            <w:r w:rsidRPr="00B10432">
              <w:rPr>
                <w:rFonts w:ascii="Cambria" w:hAnsi="Cambria" w:cs="Verdana"/>
                <w:sz w:val="24"/>
                <w:szCs w:val="24"/>
              </w:rPr>
              <w:t>Assurance</w:t>
            </w:r>
            <w:proofErr w:type="spellEnd"/>
            <w:r w:rsidRPr="00B10432">
              <w:rPr>
                <w:rFonts w:ascii="Cambria" w:hAnsi="Cambria" w:cs="Verdana"/>
                <w:sz w:val="24"/>
                <w:szCs w:val="24"/>
              </w:rPr>
              <w:t xml:space="preserve"> in Education</w:t>
            </w:r>
          </w:p>
        </w:tc>
        <w:tc>
          <w:tcPr>
            <w:tcW w:w="3021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a norvég oktatási és kutatási minisztérium tanácsadó szerve</w:t>
            </w:r>
          </w:p>
        </w:tc>
      </w:tr>
      <w:tr w:rsidR="00BA7250" w:rsidTr="008A1733">
        <w:tc>
          <w:tcPr>
            <w:tcW w:w="1413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Partner 7</w:t>
            </w:r>
          </w:p>
        </w:tc>
        <w:tc>
          <w:tcPr>
            <w:tcW w:w="4628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 w:rsidRPr="003D69E6">
              <w:rPr>
                <w:rFonts w:ascii="Cambria" w:hAnsi="Cambria" w:cs="Verdana"/>
                <w:b/>
                <w:sz w:val="24"/>
                <w:szCs w:val="24"/>
              </w:rPr>
              <w:t>DUK</w:t>
            </w:r>
            <w:r>
              <w:rPr>
                <w:rFonts w:ascii="Cambria" w:hAnsi="Cambria" w:cs="Verdana"/>
                <w:sz w:val="24"/>
                <w:szCs w:val="24"/>
              </w:rPr>
              <w:t xml:space="preserve"> - </w:t>
            </w:r>
            <w:proofErr w:type="spellStart"/>
            <w:r w:rsidRPr="00B10432">
              <w:rPr>
                <w:rFonts w:ascii="Cambria" w:hAnsi="Cambria" w:cs="Verdana"/>
                <w:sz w:val="24"/>
                <w:szCs w:val="24"/>
              </w:rPr>
              <w:t>Danube</w:t>
            </w:r>
            <w:proofErr w:type="spellEnd"/>
            <w:r w:rsidRPr="00B10432">
              <w:rPr>
                <w:rFonts w:ascii="Cambria" w:hAnsi="Cambria" w:cs="Verdana"/>
                <w:sz w:val="24"/>
                <w:szCs w:val="24"/>
              </w:rPr>
              <w:t xml:space="preserve"> University </w:t>
            </w:r>
            <w:proofErr w:type="spellStart"/>
            <w:r w:rsidRPr="00B10432">
              <w:rPr>
                <w:rFonts w:ascii="Cambria" w:hAnsi="Cambria" w:cs="Verdana"/>
                <w:sz w:val="24"/>
                <w:szCs w:val="24"/>
              </w:rPr>
              <w:t>Krems</w:t>
            </w:r>
            <w:proofErr w:type="spellEnd"/>
          </w:p>
        </w:tc>
        <w:tc>
          <w:tcPr>
            <w:tcW w:w="3021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osztrák állami egyetem, 7000 hallgató 78 országból</w:t>
            </w:r>
          </w:p>
        </w:tc>
      </w:tr>
      <w:tr w:rsidR="00BA7250" w:rsidTr="008A1733">
        <w:tc>
          <w:tcPr>
            <w:tcW w:w="1413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Partner 8</w:t>
            </w:r>
          </w:p>
        </w:tc>
        <w:tc>
          <w:tcPr>
            <w:tcW w:w="4628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 w:rsidRPr="003D69E6">
              <w:rPr>
                <w:rFonts w:ascii="Cambria" w:hAnsi="Cambria" w:cs="Verdana"/>
                <w:b/>
                <w:sz w:val="24"/>
                <w:szCs w:val="24"/>
              </w:rPr>
              <w:t>CPZ</w:t>
            </w:r>
            <w:r>
              <w:rPr>
                <w:rFonts w:ascii="Cambria" w:hAnsi="Cambria" w:cs="Verdana"/>
                <w:sz w:val="24"/>
                <w:szCs w:val="24"/>
              </w:rPr>
              <w:t xml:space="preserve"> -</w:t>
            </w:r>
            <w:r w:rsidRPr="00B10432">
              <w:rPr>
                <w:rFonts w:ascii="Cambria" w:hAnsi="Cambria" w:cs="Verdana"/>
                <w:sz w:val="24"/>
                <w:szCs w:val="24"/>
              </w:rPr>
              <w:t xml:space="preserve"> International Centre </w:t>
            </w:r>
            <w:proofErr w:type="spellStart"/>
            <w:r w:rsidRPr="00B10432">
              <w:rPr>
                <w:rFonts w:ascii="Cambria" w:hAnsi="Cambria" w:cs="Verdana"/>
                <w:sz w:val="24"/>
                <w:szCs w:val="24"/>
              </w:rPr>
              <w:t>for</w:t>
            </w:r>
            <w:proofErr w:type="spellEnd"/>
            <w:r w:rsidRPr="00B10432">
              <w:rPr>
                <w:rFonts w:ascii="Cambria" w:hAnsi="Cambria" w:cs="Verdana"/>
                <w:sz w:val="24"/>
                <w:szCs w:val="24"/>
              </w:rPr>
              <w:t xml:space="preserve"> </w:t>
            </w:r>
            <w:proofErr w:type="spellStart"/>
            <w:r w:rsidRPr="00B10432">
              <w:rPr>
                <w:rFonts w:ascii="Cambria" w:hAnsi="Cambria" w:cs="Verdana"/>
                <w:sz w:val="24"/>
                <w:szCs w:val="24"/>
              </w:rPr>
              <w:t>Knowledge</w:t>
            </w:r>
            <w:proofErr w:type="spellEnd"/>
            <w:r w:rsidRPr="00B10432">
              <w:rPr>
                <w:rFonts w:ascii="Cambria" w:hAnsi="Cambria" w:cs="Verdana"/>
                <w:sz w:val="24"/>
                <w:szCs w:val="24"/>
              </w:rPr>
              <w:t xml:space="preserve"> </w:t>
            </w:r>
            <w:proofErr w:type="spellStart"/>
            <w:r w:rsidRPr="00B10432">
              <w:rPr>
                <w:rFonts w:ascii="Cambria" w:hAnsi="Cambria" w:cs="Verdana"/>
                <w:sz w:val="24"/>
                <w:szCs w:val="24"/>
              </w:rPr>
              <w:t>Promotion</w:t>
            </w:r>
            <w:proofErr w:type="spellEnd"/>
          </w:p>
        </w:tc>
        <w:tc>
          <w:tcPr>
            <w:tcW w:w="3021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nemzetközi szervezet, szlovén székhelyű</w:t>
            </w:r>
          </w:p>
        </w:tc>
      </w:tr>
      <w:tr w:rsidR="00BA7250" w:rsidTr="008A1733">
        <w:tc>
          <w:tcPr>
            <w:tcW w:w="1413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lastRenderedPageBreak/>
              <w:t>Partner 9</w:t>
            </w:r>
          </w:p>
        </w:tc>
        <w:tc>
          <w:tcPr>
            <w:tcW w:w="4628" w:type="dxa"/>
          </w:tcPr>
          <w:p w:rsidR="00BA7250" w:rsidRPr="00B10432" w:rsidRDefault="00BA7250" w:rsidP="008A1733">
            <w:pPr>
              <w:rPr>
                <w:rFonts w:ascii="Cambria" w:hAnsi="Cambria" w:cs="HelveticaNeue"/>
                <w:sz w:val="24"/>
                <w:szCs w:val="24"/>
              </w:rPr>
            </w:pPr>
            <w:r w:rsidRPr="003D69E6">
              <w:rPr>
                <w:rFonts w:ascii="Cambria" w:hAnsi="Cambria" w:cs="Verdana"/>
                <w:b/>
                <w:sz w:val="24"/>
                <w:szCs w:val="24"/>
              </w:rPr>
              <w:t>LMU</w:t>
            </w:r>
            <w:r>
              <w:rPr>
                <w:rFonts w:ascii="Cambria" w:hAnsi="Cambria" w:cs="Verdana"/>
                <w:sz w:val="24"/>
                <w:szCs w:val="24"/>
              </w:rPr>
              <w:t xml:space="preserve"> - </w:t>
            </w:r>
            <w:r w:rsidRPr="00B10432">
              <w:rPr>
                <w:rFonts w:ascii="Cambria" w:hAnsi="Cambria" w:cs="HelveticaNeue"/>
                <w:sz w:val="24"/>
                <w:szCs w:val="24"/>
              </w:rPr>
              <w:t>Ludwig-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Maximilians</w:t>
            </w:r>
            <w:proofErr w:type="spellEnd"/>
            <w:r w:rsidRPr="00B10432">
              <w:rPr>
                <w:rFonts w:ascii="Cambria" w:hAnsi="Cambria" w:cs="HelveticaNeue"/>
                <w:sz w:val="24"/>
                <w:szCs w:val="24"/>
              </w:rPr>
              <w:t xml:space="preserve"> University</w:t>
            </w:r>
          </w:p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</w:p>
        </w:tc>
        <w:tc>
          <w:tcPr>
            <w:tcW w:w="3021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Németország egyik legnagyobb egyeteme, 50000 hallgató</w:t>
            </w:r>
          </w:p>
        </w:tc>
      </w:tr>
      <w:tr w:rsidR="00BA7250" w:rsidTr="008A1733">
        <w:tc>
          <w:tcPr>
            <w:tcW w:w="1413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Partner 10</w:t>
            </w:r>
          </w:p>
        </w:tc>
        <w:tc>
          <w:tcPr>
            <w:tcW w:w="4628" w:type="dxa"/>
          </w:tcPr>
          <w:p w:rsidR="00BA7250" w:rsidRPr="00650CA3" w:rsidRDefault="00BA7250" w:rsidP="008A1733">
            <w:pPr>
              <w:rPr>
                <w:rFonts w:ascii="Cambria" w:hAnsi="Cambria" w:cs="Verdana"/>
                <w:b/>
                <w:sz w:val="24"/>
                <w:szCs w:val="24"/>
              </w:rPr>
            </w:pPr>
            <w:proofErr w:type="spellStart"/>
            <w:r w:rsidRPr="00650CA3">
              <w:rPr>
                <w:rFonts w:ascii="Cambria" w:hAnsi="Cambria" w:cs="Verdana"/>
                <w:b/>
                <w:sz w:val="24"/>
                <w:szCs w:val="24"/>
              </w:rPr>
              <w:t>Fachhochschule</w:t>
            </w:r>
            <w:proofErr w:type="spellEnd"/>
            <w:r w:rsidRPr="00650CA3">
              <w:rPr>
                <w:rFonts w:ascii="Cambria" w:hAnsi="Cambria" w:cs="Verdana"/>
                <w:b/>
                <w:sz w:val="24"/>
                <w:szCs w:val="24"/>
              </w:rPr>
              <w:t xml:space="preserve"> Burgenland</w:t>
            </w:r>
          </w:p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</w:p>
        </w:tc>
        <w:tc>
          <w:tcPr>
            <w:tcW w:w="3021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osztrák alkalmazott tudományok egyeteme, 1800 hallgató</w:t>
            </w:r>
          </w:p>
        </w:tc>
      </w:tr>
      <w:tr w:rsidR="00BA7250" w:rsidTr="008A1733">
        <w:tc>
          <w:tcPr>
            <w:tcW w:w="1413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Partner 11</w:t>
            </w:r>
          </w:p>
        </w:tc>
        <w:tc>
          <w:tcPr>
            <w:tcW w:w="4628" w:type="dxa"/>
          </w:tcPr>
          <w:p w:rsidR="00BA7250" w:rsidRPr="00B10432" w:rsidRDefault="00BA7250" w:rsidP="008A1733">
            <w:pPr>
              <w:rPr>
                <w:rFonts w:ascii="Cambria" w:hAnsi="Cambria" w:cs="HelveticaNeue"/>
                <w:sz w:val="24"/>
                <w:szCs w:val="24"/>
              </w:rPr>
            </w:pPr>
            <w:r w:rsidRPr="003D69E6">
              <w:rPr>
                <w:rFonts w:ascii="Cambria" w:hAnsi="Cambria" w:cs="Verdana"/>
                <w:b/>
                <w:sz w:val="24"/>
                <w:szCs w:val="24"/>
              </w:rPr>
              <w:t>UP</w:t>
            </w:r>
            <w:r>
              <w:rPr>
                <w:rFonts w:ascii="Cambria" w:hAnsi="Cambria" w:cs="Verdana"/>
                <w:sz w:val="24"/>
                <w:szCs w:val="24"/>
              </w:rPr>
              <w:t xml:space="preserve"> - </w:t>
            </w:r>
            <w:r w:rsidRPr="00B10432">
              <w:rPr>
                <w:rFonts w:ascii="Cambria" w:hAnsi="Cambria" w:cs="HelveticaNeue"/>
                <w:sz w:val="24"/>
                <w:szCs w:val="24"/>
              </w:rPr>
              <w:t xml:space="preserve">University of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Pecs</w:t>
            </w:r>
            <w:proofErr w:type="spellEnd"/>
          </w:p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</w:p>
        </w:tc>
        <w:tc>
          <w:tcPr>
            <w:tcW w:w="3021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 xml:space="preserve">22000 hallgató, </w:t>
            </w:r>
          </w:p>
        </w:tc>
      </w:tr>
      <w:tr w:rsidR="00BA7250" w:rsidTr="008A1733">
        <w:tc>
          <w:tcPr>
            <w:tcW w:w="1413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Partner 12</w:t>
            </w:r>
          </w:p>
        </w:tc>
        <w:tc>
          <w:tcPr>
            <w:tcW w:w="4628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 w:rsidRPr="000F45F6">
              <w:rPr>
                <w:rFonts w:ascii="Cambria" w:hAnsi="Cambria" w:cs="HelveticaNeue"/>
                <w:b/>
                <w:sz w:val="24"/>
                <w:szCs w:val="24"/>
              </w:rPr>
              <w:t xml:space="preserve">IVC Den </w:t>
            </w:r>
            <w:proofErr w:type="spellStart"/>
            <w:r w:rsidRPr="000F45F6">
              <w:rPr>
                <w:rFonts w:ascii="Cambria" w:hAnsi="Cambria" w:cs="HelveticaNeue"/>
                <w:b/>
                <w:sz w:val="24"/>
                <w:szCs w:val="24"/>
              </w:rPr>
              <w:t>Helder</w:t>
            </w:r>
            <w:proofErr w:type="spellEnd"/>
            <w:r>
              <w:rPr>
                <w:rFonts w:ascii="Cambria" w:hAnsi="Cambria" w:cs="HelveticaNeue"/>
                <w:sz w:val="24"/>
                <w:szCs w:val="24"/>
              </w:rPr>
              <w:t xml:space="preserve"> -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Stichting</w:t>
            </w:r>
            <w:proofErr w:type="spellEnd"/>
            <w:r w:rsidRPr="00B10432">
              <w:rPr>
                <w:rFonts w:ascii="Cambria" w:hAnsi="Cambria" w:cs="HelveticaNeue"/>
                <w:sz w:val="24"/>
                <w:szCs w:val="24"/>
              </w:rPr>
              <w:t xml:space="preserve">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Internationaal</w:t>
            </w:r>
            <w:proofErr w:type="spellEnd"/>
            <w:r w:rsidRPr="00B10432">
              <w:rPr>
                <w:rFonts w:ascii="Cambria" w:hAnsi="Cambria" w:cs="HelveticaNeue"/>
                <w:sz w:val="24"/>
                <w:szCs w:val="24"/>
              </w:rPr>
              <w:t xml:space="preserve">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Vrouwenwerk</w:t>
            </w:r>
            <w:proofErr w:type="spellEnd"/>
            <w:r w:rsidRPr="00B10432">
              <w:rPr>
                <w:rFonts w:ascii="Cambria" w:hAnsi="Cambria" w:cs="HelveticaNeue"/>
                <w:sz w:val="24"/>
                <w:szCs w:val="24"/>
              </w:rPr>
              <w:t xml:space="preserve"> Den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Helder</w:t>
            </w:r>
            <w:proofErr w:type="spellEnd"/>
          </w:p>
        </w:tc>
        <w:tc>
          <w:tcPr>
            <w:tcW w:w="3021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nemzetközi szervezet, holland székhely</w:t>
            </w:r>
          </w:p>
        </w:tc>
      </w:tr>
      <w:tr w:rsidR="00BA7250" w:rsidTr="008A1733">
        <w:tc>
          <w:tcPr>
            <w:tcW w:w="1413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Partner 13</w:t>
            </w:r>
          </w:p>
        </w:tc>
        <w:tc>
          <w:tcPr>
            <w:tcW w:w="4628" w:type="dxa"/>
          </w:tcPr>
          <w:p w:rsidR="00BA7250" w:rsidRPr="00B10432" w:rsidRDefault="00BA7250" w:rsidP="008A1733">
            <w:pPr>
              <w:autoSpaceDE w:val="0"/>
              <w:autoSpaceDN w:val="0"/>
              <w:adjustRightInd w:val="0"/>
              <w:rPr>
                <w:rFonts w:ascii="Cambria" w:hAnsi="Cambria" w:cs="HelveticaNeue"/>
                <w:sz w:val="24"/>
                <w:szCs w:val="24"/>
              </w:rPr>
            </w:pPr>
            <w:r w:rsidRPr="000F45F6">
              <w:rPr>
                <w:rFonts w:ascii="Cambria" w:hAnsi="Cambria" w:cs="HelveticaNeue"/>
                <w:b/>
                <w:sz w:val="24"/>
                <w:szCs w:val="24"/>
              </w:rPr>
              <w:t xml:space="preserve">OMILOS GIA TIN UNESCO PEIRAIOS, </w:t>
            </w:r>
            <w:r w:rsidRPr="00650CA3">
              <w:rPr>
                <w:rFonts w:ascii="Cambria" w:hAnsi="Cambria" w:cs="HelveticaNeue"/>
                <w:sz w:val="24"/>
                <w:szCs w:val="24"/>
              </w:rPr>
              <w:t xml:space="preserve">Club </w:t>
            </w:r>
            <w:proofErr w:type="spellStart"/>
            <w:r w:rsidRPr="00650CA3">
              <w:rPr>
                <w:rFonts w:ascii="Cambria" w:hAnsi="Cambria" w:cs="HelveticaNeue"/>
                <w:sz w:val="24"/>
                <w:szCs w:val="24"/>
              </w:rPr>
              <w:t>for</w:t>
            </w:r>
            <w:proofErr w:type="spellEnd"/>
            <w:r w:rsidRPr="00650CA3">
              <w:rPr>
                <w:rFonts w:ascii="Cambria" w:hAnsi="Cambria" w:cs="HelveticaNeue"/>
                <w:sz w:val="24"/>
                <w:szCs w:val="24"/>
              </w:rPr>
              <w:t xml:space="preserve"> UNESCO</w:t>
            </w:r>
            <w:r w:rsidRPr="00B10432">
              <w:rPr>
                <w:rFonts w:ascii="Cambria" w:hAnsi="Cambria" w:cs="HelveticaNeue"/>
                <w:sz w:val="24"/>
                <w:szCs w:val="24"/>
              </w:rPr>
              <w:t xml:space="preserve"> of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Piraeus</w:t>
            </w:r>
            <w:proofErr w:type="spellEnd"/>
          </w:p>
          <w:p w:rsidR="00BA7250" w:rsidRPr="000F45F6" w:rsidRDefault="00BA7250" w:rsidP="008A1733">
            <w:pPr>
              <w:rPr>
                <w:rFonts w:ascii="Cambria" w:hAnsi="Cambria" w:cs="HelveticaNeue"/>
                <w:sz w:val="24"/>
                <w:szCs w:val="24"/>
              </w:rPr>
            </w:pPr>
            <w:r w:rsidRPr="00B10432">
              <w:rPr>
                <w:rFonts w:ascii="Cambria" w:hAnsi="Cambria" w:cs="HelveticaNeue"/>
                <w:sz w:val="24"/>
                <w:szCs w:val="24"/>
              </w:rPr>
              <w:t xml:space="preserve">&amp; </w:t>
            </w:r>
            <w:proofErr w:type="spellStart"/>
            <w:r w:rsidRPr="00B10432">
              <w:rPr>
                <w:rFonts w:ascii="Cambria" w:hAnsi="Cambria" w:cs="HelveticaNeue"/>
                <w:sz w:val="24"/>
                <w:szCs w:val="24"/>
              </w:rPr>
              <w:t>Islands</w:t>
            </w:r>
            <w:proofErr w:type="spellEnd"/>
          </w:p>
        </w:tc>
        <w:tc>
          <w:tcPr>
            <w:tcW w:w="3021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spanyol NGO, 4000 tag</w:t>
            </w:r>
          </w:p>
        </w:tc>
      </w:tr>
      <w:tr w:rsidR="00BA7250" w:rsidTr="008A1733">
        <w:tc>
          <w:tcPr>
            <w:tcW w:w="1413" w:type="dxa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Partner +</w:t>
            </w:r>
          </w:p>
        </w:tc>
        <w:tc>
          <w:tcPr>
            <w:tcW w:w="7649" w:type="dxa"/>
            <w:gridSpan w:val="2"/>
          </w:tcPr>
          <w:p w:rsidR="00BA7250" w:rsidRDefault="00BA7250" w:rsidP="008A1733">
            <w:pPr>
              <w:rPr>
                <w:rFonts w:ascii="Cambria" w:hAnsi="Cambria" w:cs="Verdana"/>
                <w:sz w:val="24"/>
                <w:szCs w:val="24"/>
              </w:rPr>
            </w:pPr>
            <w:r>
              <w:rPr>
                <w:rFonts w:ascii="Cambria" w:hAnsi="Cambria" w:cs="Verdana"/>
                <w:sz w:val="24"/>
                <w:szCs w:val="24"/>
              </w:rPr>
              <w:t>9 támogató szervezet 6 különböző országból</w:t>
            </w:r>
          </w:p>
        </w:tc>
      </w:tr>
    </w:tbl>
    <w:p w:rsidR="00BA7250" w:rsidRDefault="00BA7250" w:rsidP="00BA7250">
      <w:pPr>
        <w:spacing w:after="0"/>
        <w:rPr>
          <w:rFonts w:ascii="Cambria" w:hAnsi="Cambria" w:cs="Verdana"/>
          <w:sz w:val="24"/>
          <w:szCs w:val="24"/>
        </w:rPr>
      </w:pPr>
    </w:p>
    <w:p w:rsidR="00BA7250" w:rsidRDefault="00BA7250" w:rsidP="00BA7250">
      <w:pPr>
        <w:pStyle w:val="Cmsor1"/>
      </w:pPr>
      <w:r>
        <w:t>A Projekt célkitűzései</w:t>
      </w:r>
    </w:p>
    <w:p w:rsidR="00BA7250" w:rsidRDefault="00BA7250" w:rsidP="00BA7250">
      <w:pPr>
        <w:spacing w:after="0"/>
        <w:jc w:val="both"/>
        <w:rPr>
          <w:rFonts w:ascii="Cambria" w:hAnsi="Cambria" w:cs="Verdana"/>
          <w:sz w:val="24"/>
          <w:szCs w:val="24"/>
        </w:rPr>
      </w:pPr>
      <w:r>
        <w:rPr>
          <w:rFonts w:ascii="Cambria" w:hAnsi="Cambria" w:cs="Verdana"/>
          <w:sz w:val="24"/>
          <w:szCs w:val="24"/>
        </w:rPr>
        <w:t xml:space="preserve">Az Európába újonnan érkezők (menekültek és egyéb migránsok) száma </w:t>
      </w:r>
      <w:proofErr w:type="gramStart"/>
      <w:r>
        <w:rPr>
          <w:rFonts w:ascii="Cambria" w:hAnsi="Cambria" w:cs="Verdana"/>
          <w:sz w:val="24"/>
          <w:szCs w:val="24"/>
        </w:rPr>
        <w:t>drasztikusan</w:t>
      </w:r>
      <w:proofErr w:type="gramEnd"/>
      <w:r>
        <w:rPr>
          <w:rFonts w:ascii="Cambria" w:hAnsi="Cambria" w:cs="Verdana"/>
          <w:sz w:val="24"/>
          <w:szCs w:val="24"/>
        </w:rPr>
        <w:t xml:space="preserve"> megemelkedett az utóbbi években, akik háború vagy kilátástalan életkörülmények elől menekülnek, vagy más okból keresnek jobb életlehetőségeket. Számuk valószínűsíthetően tovább növekszik majd a következő években. Az újonnan érkezők számos nehézséggel szembesülnek európai letelepedésük során, ezek közül a projekt a munkaerő piacra jutásukra, illetve továbbtanulásukra </w:t>
      </w:r>
      <w:proofErr w:type="gramStart"/>
      <w:r>
        <w:rPr>
          <w:rFonts w:ascii="Cambria" w:hAnsi="Cambria" w:cs="Verdana"/>
          <w:sz w:val="24"/>
          <w:szCs w:val="24"/>
        </w:rPr>
        <w:t>koncentrál</w:t>
      </w:r>
      <w:proofErr w:type="gramEnd"/>
      <w:r>
        <w:rPr>
          <w:rFonts w:ascii="Cambria" w:hAnsi="Cambria" w:cs="Verdana"/>
          <w:sz w:val="24"/>
          <w:szCs w:val="24"/>
        </w:rPr>
        <w:t xml:space="preserve">. Az Európa Tanács nemrégiben elismerte, hogy az oktatás döntő szerepet játszik a migránsok megsegítésében. Az integrációs folyamatnak része kell, hogy legyen a képzettségek elismerése, valamint az oktatás is, amely önmagában is értékes eszköz az egész európai lakosság társadalmi </w:t>
      </w:r>
      <w:proofErr w:type="gramStart"/>
      <w:r>
        <w:rPr>
          <w:rFonts w:ascii="Cambria" w:hAnsi="Cambria" w:cs="Verdana"/>
          <w:sz w:val="24"/>
          <w:szCs w:val="24"/>
        </w:rPr>
        <w:t>kohéziójának</w:t>
      </w:r>
      <w:proofErr w:type="gramEnd"/>
      <w:r>
        <w:rPr>
          <w:rFonts w:ascii="Cambria" w:hAnsi="Cambria" w:cs="Verdana"/>
          <w:sz w:val="24"/>
          <w:szCs w:val="24"/>
        </w:rPr>
        <w:t xml:space="preserve">, szolidaritásának, toleranciájának, diverzitásának és emberi jogainak előmozdításában, hiszen képes hatékonyan küzdeni a rasszizmussal, idegengyűlölettel, antiszemitizmussal, </w:t>
      </w:r>
      <w:proofErr w:type="spellStart"/>
      <w:r>
        <w:rPr>
          <w:rFonts w:ascii="Cambria" w:hAnsi="Cambria" w:cs="Verdana"/>
          <w:sz w:val="24"/>
          <w:szCs w:val="24"/>
        </w:rPr>
        <w:t>iszlamofóbiával</w:t>
      </w:r>
      <w:proofErr w:type="spellEnd"/>
      <w:r>
        <w:rPr>
          <w:rFonts w:ascii="Cambria" w:hAnsi="Cambria" w:cs="Verdana"/>
          <w:sz w:val="24"/>
          <w:szCs w:val="24"/>
        </w:rPr>
        <w:t xml:space="preserve"> és az intoleranciával szemben.</w:t>
      </w:r>
    </w:p>
    <w:p w:rsidR="00BA7250" w:rsidRDefault="00BA7250" w:rsidP="00BA7250">
      <w:pPr>
        <w:spacing w:after="0"/>
        <w:jc w:val="both"/>
        <w:rPr>
          <w:rFonts w:ascii="Cambria" w:hAnsi="Cambria" w:cs="Verdana"/>
          <w:sz w:val="24"/>
          <w:szCs w:val="24"/>
        </w:rPr>
      </w:pPr>
      <w:r>
        <w:rPr>
          <w:rFonts w:ascii="Cambria" w:hAnsi="Cambria" w:cs="Verdana"/>
          <w:sz w:val="24"/>
          <w:szCs w:val="24"/>
        </w:rPr>
        <w:t xml:space="preserve">Az újonnan érkezőket a gyakorlatban gyakran akadályozzák jogaik élvezésében, amely tovább nehezíti integrációjukat a befogadó társadalmakban. Az egyik ilyen akadályozó tényező, hogy bár ha van is képzettségük valamilyen területen, </w:t>
      </w:r>
      <w:proofErr w:type="gramStart"/>
      <w:r>
        <w:rPr>
          <w:rFonts w:ascii="Cambria" w:hAnsi="Cambria" w:cs="Verdana"/>
          <w:sz w:val="24"/>
          <w:szCs w:val="24"/>
        </w:rPr>
        <w:t>kompetenciáikat</w:t>
      </w:r>
      <w:proofErr w:type="gramEnd"/>
      <w:r>
        <w:rPr>
          <w:rFonts w:ascii="Cambria" w:hAnsi="Cambria" w:cs="Verdana"/>
          <w:sz w:val="24"/>
          <w:szCs w:val="24"/>
        </w:rPr>
        <w:t xml:space="preserve"> nem ismerik el. Ennek több oka lehet, készségeik és ismereteik nem feltétlenül illeszkednek a befogadó országok előírásaihoz, eljárásrendjéhez, hiányoznak az igazoló </w:t>
      </w:r>
      <w:proofErr w:type="gramStart"/>
      <w:r>
        <w:rPr>
          <w:rFonts w:ascii="Cambria" w:hAnsi="Cambria" w:cs="Verdana"/>
          <w:sz w:val="24"/>
          <w:szCs w:val="24"/>
        </w:rPr>
        <w:t>dokumentumaik</w:t>
      </w:r>
      <w:proofErr w:type="gramEnd"/>
      <w:r>
        <w:rPr>
          <w:rFonts w:ascii="Cambria" w:hAnsi="Cambria" w:cs="Verdana"/>
          <w:sz w:val="24"/>
          <w:szCs w:val="24"/>
        </w:rPr>
        <w:t xml:space="preserve">, vagy szakmai karrierjük nem összeegyeztethető a </w:t>
      </w:r>
      <w:proofErr w:type="spellStart"/>
      <w:r>
        <w:rPr>
          <w:rFonts w:ascii="Cambria" w:hAnsi="Cambria" w:cs="Verdana"/>
          <w:sz w:val="24"/>
          <w:szCs w:val="24"/>
        </w:rPr>
        <w:t>befogaó</w:t>
      </w:r>
      <w:proofErr w:type="spellEnd"/>
      <w:r>
        <w:rPr>
          <w:rFonts w:ascii="Cambria" w:hAnsi="Cambria" w:cs="Verdana"/>
          <w:sz w:val="24"/>
          <w:szCs w:val="24"/>
        </w:rPr>
        <w:t xml:space="preserve"> ország igazolási rendszerével. Ez megakadályozza, hogy belépjenek a munkaerő piacra, </w:t>
      </w:r>
      <w:proofErr w:type="gramStart"/>
      <w:r>
        <w:rPr>
          <w:rFonts w:ascii="Cambria" w:hAnsi="Cambria" w:cs="Verdana"/>
          <w:sz w:val="24"/>
          <w:szCs w:val="24"/>
        </w:rPr>
        <w:t>vagy</w:t>
      </w:r>
      <w:proofErr w:type="gramEnd"/>
      <w:r>
        <w:rPr>
          <w:rFonts w:ascii="Cambria" w:hAnsi="Cambria" w:cs="Verdana"/>
          <w:sz w:val="24"/>
          <w:szCs w:val="24"/>
        </w:rPr>
        <w:t xml:space="preserve"> hogy folytassák tanulmányaikat, s így veszélyezteti esélyeiket a társadalmi integrációban is. </w:t>
      </w:r>
    </w:p>
    <w:p w:rsidR="00BA7250" w:rsidRDefault="00BA7250" w:rsidP="00BA7250">
      <w:pPr>
        <w:spacing w:after="0"/>
        <w:jc w:val="both"/>
        <w:rPr>
          <w:rFonts w:ascii="Cambria" w:hAnsi="Cambria" w:cs="Verdana"/>
          <w:sz w:val="24"/>
          <w:szCs w:val="24"/>
        </w:rPr>
      </w:pPr>
      <w:r>
        <w:rPr>
          <w:rFonts w:ascii="Cambria" w:hAnsi="Cambria" w:cs="Verdana"/>
          <w:sz w:val="24"/>
          <w:szCs w:val="24"/>
        </w:rPr>
        <w:t xml:space="preserve">A projekt egyik fő célkitűzése az, hogy már meglévő módszereket alkalmazzon a hátrányos helyzetű személyek egyetemi képzésbe való bevonásához, ami társadalmi integrációjukat is segíti, egyben hatékony eszköznek mutatkozik a </w:t>
      </w:r>
      <w:proofErr w:type="gramStart"/>
      <w:r>
        <w:rPr>
          <w:rFonts w:ascii="Cambria" w:hAnsi="Cambria" w:cs="Verdana"/>
          <w:sz w:val="24"/>
          <w:szCs w:val="24"/>
        </w:rPr>
        <w:t>diszkriminációs</w:t>
      </w:r>
      <w:proofErr w:type="gramEnd"/>
      <w:r>
        <w:rPr>
          <w:rFonts w:ascii="Cambria" w:hAnsi="Cambria" w:cs="Verdana"/>
          <w:sz w:val="24"/>
          <w:szCs w:val="24"/>
        </w:rPr>
        <w:t xml:space="preserve"> gyakorlatok visszaszorításában. Másrészt új eszközöket fejlesszen ki, melyek megkönnyítik az újonnan érkezők különböző készségeinek, </w:t>
      </w:r>
      <w:proofErr w:type="gramStart"/>
      <w:r>
        <w:rPr>
          <w:rFonts w:ascii="Cambria" w:hAnsi="Cambria" w:cs="Verdana"/>
          <w:sz w:val="24"/>
          <w:szCs w:val="24"/>
        </w:rPr>
        <w:t>kompetenciáinak</w:t>
      </w:r>
      <w:proofErr w:type="gramEnd"/>
      <w:r>
        <w:rPr>
          <w:rFonts w:ascii="Cambria" w:hAnsi="Cambria" w:cs="Verdana"/>
          <w:sz w:val="24"/>
          <w:szCs w:val="24"/>
        </w:rPr>
        <w:t xml:space="preserve"> és ismereteinek elismerését, </w:t>
      </w:r>
      <w:proofErr w:type="spellStart"/>
      <w:r>
        <w:rPr>
          <w:rFonts w:ascii="Cambria" w:hAnsi="Cambria" w:cs="Verdana"/>
          <w:sz w:val="24"/>
          <w:szCs w:val="24"/>
        </w:rPr>
        <w:t>validálását</w:t>
      </w:r>
      <w:proofErr w:type="spellEnd"/>
      <w:r>
        <w:rPr>
          <w:rFonts w:ascii="Cambria" w:hAnsi="Cambria" w:cs="Verdana"/>
          <w:sz w:val="24"/>
          <w:szCs w:val="24"/>
        </w:rPr>
        <w:t xml:space="preserve">, hogy aztán </w:t>
      </w:r>
      <w:proofErr w:type="spellStart"/>
      <w:r>
        <w:rPr>
          <w:rFonts w:ascii="Cambria" w:hAnsi="Cambria" w:cs="Verdana"/>
          <w:sz w:val="24"/>
          <w:szCs w:val="24"/>
        </w:rPr>
        <w:t>továbbtanulhassanak</w:t>
      </w:r>
      <w:proofErr w:type="spellEnd"/>
      <w:r>
        <w:rPr>
          <w:rFonts w:ascii="Cambria" w:hAnsi="Cambria" w:cs="Verdana"/>
          <w:sz w:val="24"/>
          <w:szCs w:val="24"/>
        </w:rPr>
        <w:t xml:space="preserve"> vagy elhelyezkedjenek a munkaerő piacon. Az újonnan érkezők előzetes tudásának hatékony értékelése lényeges feltétele munkaerő piacra, illetve képzőhelyekre való bejutásuknak. Elismerésük és </w:t>
      </w:r>
      <w:proofErr w:type="spellStart"/>
      <w:r>
        <w:rPr>
          <w:rFonts w:ascii="Cambria" w:hAnsi="Cambria" w:cs="Verdana"/>
          <w:sz w:val="24"/>
          <w:szCs w:val="24"/>
        </w:rPr>
        <w:t>validációjuk</w:t>
      </w:r>
      <w:proofErr w:type="spellEnd"/>
      <w:r>
        <w:rPr>
          <w:rFonts w:ascii="Cambria" w:hAnsi="Cambria" w:cs="Verdana"/>
          <w:sz w:val="24"/>
          <w:szCs w:val="24"/>
        </w:rPr>
        <w:t xml:space="preserve"> informális útjai is támogatják társadalmi integrációjukat és előre jutásukat, hiszen a </w:t>
      </w:r>
      <w:proofErr w:type="gramStart"/>
      <w:r>
        <w:rPr>
          <w:rFonts w:ascii="Cambria" w:hAnsi="Cambria" w:cs="Verdana"/>
          <w:sz w:val="24"/>
          <w:szCs w:val="24"/>
        </w:rPr>
        <w:t>formális</w:t>
      </w:r>
      <w:proofErr w:type="gramEnd"/>
      <w:r>
        <w:rPr>
          <w:rFonts w:ascii="Cambria" w:hAnsi="Cambria" w:cs="Verdana"/>
          <w:sz w:val="24"/>
          <w:szCs w:val="24"/>
        </w:rPr>
        <w:t xml:space="preserve"> képzésből leggyakrabban kiszorulnak. A </w:t>
      </w:r>
      <w:proofErr w:type="spellStart"/>
      <w:r>
        <w:rPr>
          <w:rFonts w:ascii="Cambria" w:hAnsi="Cambria" w:cs="Verdana"/>
          <w:sz w:val="24"/>
          <w:szCs w:val="24"/>
        </w:rPr>
        <w:t>validációs</w:t>
      </w:r>
      <w:proofErr w:type="spellEnd"/>
      <w:r>
        <w:rPr>
          <w:rFonts w:ascii="Cambria" w:hAnsi="Cambria" w:cs="Verdana"/>
          <w:sz w:val="24"/>
          <w:szCs w:val="24"/>
        </w:rPr>
        <w:t xml:space="preserve"> folyamat kiterjesztése az informális képzőhelyekre egyebekben ahhoz is hozzájárulhat, hogy a képzési egyenlőtlenségeket kiegyensúlyozza, illetve további utakat, módokat tegyen lehetővé a mindennapi </w:t>
      </w:r>
      <w:proofErr w:type="spellStart"/>
      <w:r>
        <w:rPr>
          <w:rFonts w:ascii="Cambria" w:hAnsi="Cambria" w:cs="Verdana"/>
          <w:sz w:val="24"/>
          <w:szCs w:val="24"/>
        </w:rPr>
        <w:t>életbeli</w:t>
      </w:r>
      <w:proofErr w:type="spellEnd"/>
      <w:r>
        <w:rPr>
          <w:rFonts w:ascii="Cambria" w:hAnsi="Cambria" w:cs="Verdana"/>
          <w:sz w:val="24"/>
          <w:szCs w:val="24"/>
        </w:rPr>
        <w:t xml:space="preserve"> és a munkaerő piac világában szükséges készségek fejlesztésben. Emellett annak az esélynek a megadása, hogy hasznosíthatják korábbi </w:t>
      </w:r>
      <w:proofErr w:type="spellStart"/>
      <w:r>
        <w:rPr>
          <w:rFonts w:ascii="Cambria" w:hAnsi="Cambria" w:cs="Verdana"/>
          <w:sz w:val="24"/>
          <w:szCs w:val="24"/>
        </w:rPr>
        <w:t>képzésbeli</w:t>
      </w:r>
      <w:proofErr w:type="spellEnd"/>
      <w:r>
        <w:rPr>
          <w:rFonts w:ascii="Cambria" w:hAnsi="Cambria" w:cs="Verdana"/>
          <w:sz w:val="24"/>
          <w:szCs w:val="24"/>
        </w:rPr>
        <w:t xml:space="preserve"> és munkahelyi tapasztalataikat, támogató visszajelzést kapnak előzetes tudásukról, az lehetővé teszi számukra, hogy valóban megalapozhassák jövőjüket új társadalmukban.  Az Európa Tanács </w:t>
      </w:r>
      <w:proofErr w:type="spellStart"/>
      <w:r>
        <w:rPr>
          <w:rFonts w:ascii="Cambria" w:hAnsi="Cambria" w:cs="Verdana"/>
          <w:sz w:val="24"/>
          <w:szCs w:val="24"/>
        </w:rPr>
        <w:t>validációról</w:t>
      </w:r>
      <w:proofErr w:type="spellEnd"/>
      <w:r>
        <w:rPr>
          <w:rFonts w:ascii="Cambria" w:hAnsi="Cambria" w:cs="Verdana"/>
          <w:sz w:val="24"/>
          <w:szCs w:val="24"/>
        </w:rPr>
        <w:t xml:space="preserve"> szóló ajánlása 2018-ig kéri minden tagországától, hogy fejlesszenek ki </w:t>
      </w:r>
      <w:proofErr w:type="spellStart"/>
      <w:r>
        <w:rPr>
          <w:rFonts w:ascii="Cambria" w:hAnsi="Cambria" w:cs="Verdana"/>
          <w:sz w:val="24"/>
          <w:szCs w:val="24"/>
        </w:rPr>
        <w:t>validációs</w:t>
      </w:r>
      <w:proofErr w:type="spellEnd"/>
      <w:r>
        <w:rPr>
          <w:rFonts w:ascii="Cambria" w:hAnsi="Cambria" w:cs="Verdana"/>
          <w:sz w:val="24"/>
          <w:szCs w:val="24"/>
        </w:rPr>
        <w:t xml:space="preserve"> egyezményeket az informális és non-formális képzési helyekkel. </w:t>
      </w:r>
      <w:proofErr w:type="spellStart"/>
      <w:r>
        <w:rPr>
          <w:rFonts w:ascii="Cambria" w:hAnsi="Cambria" w:cs="Verdana"/>
          <w:sz w:val="24"/>
          <w:szCs w:val="24"/>
        </w:rPr>
        <w:t>Mindezek</w:t>
      </w:r>
      <w:proofErr w:type="spellEnd"/>
      <w:r>
        <w:rPr>
          <w:rFonts w:ascii="Cambria" w:hAnsi="Cambria" w:cs="Verdana"/>
          <w:sz w:val="24"/>
          <w:szCs w:val="24"/>
        </w:rPr>
        <w:t xml:space="preserve"> fényében a projekt informális és non-formális képzés előtti </w:t>
      </w:r>
      <w:proofErr w:type="spellStart"/>
      <w:r>
        <w:rPr>
          <w:rFonts w:ascii="Cambria" w:hAnsi="Cambria" w:cs="Verdana"/>
          <w:sz w:val="24"/>
          <w:szCs w:val="24"/>
        </w:rPr>
        <w:t>validációval</w:t>
      </w:r>
      <w:proofErr w:type="spellEnd"/>
      <w:r>
        <w:rPr>
          <w:rFonts w:ascii="Cambria" w:hAnsi="Cambria" w:cs="Verdana"/>
          <w:sz w:val="24"/>
          <w:szCs w:val="24"/>
        </w:rPr>
        <w:t xml:space="preserve"> is foglalkozik. Az informális és </w:t>
      </w:r>
      <w:proofErr w:type="gramStart"/>
      <w:r>
        <w:rPr>
          <w:rFonts w:ascii="Cambria" w:hAnsi="Cambria" w:cs="Verdana"/>
          <w:sz w:val="24"/>
          <w:szCs w:val="24"/>
        </w:rPr>
        <w:t>formális</w:t>
      </w:r>
      <w:proofErr w:type="gramEnd"/>
      <w:r>
        <w:rPr>
          <w:rFonts w:ascii="Cambria" w:hAnsi="Cambria" w:cs="Verdana"/>
          <w:sz w:val="24"/>
          <w:szCs w:val="24"/>
        </w:rPr>
        <w:t xml:space="preserve"> képzések közötti átjárás gyakorlatában a dokumentáció alapú igazolás viszonylag könnyű, menete alkalmazhatóvá tehető a nem Európából érkezők számára is, bár ez inkább adminisztratív és tudásszint szerinti, vagyis szakmai kompetenciákra </w:t>
      </w:r>
      <w:proofErr w:type="spellStart"/>
      <w:r>
        <w:rPr>
          <w:rFonts w:ascii="Cambria" w:hAnsi="Cambria" w:cs="Verdana"/>
          <w:sz w:val="24"/>
          <w:szCs w:val="24"/>
        </w:rPr>
        <w:t>kihegyzetett</w:t>
      </w:r>
      <w:proofErr w:type="spellEnd"/>
      <w:r>
        <w:rPr>
          <w:rFonts w:ascii="Cambria" w:hAnsi="Cambria" w:cs="Verdana"/>
          <w:sz w:val="24"/>
          <w:szCs w:val="24"/>
        </w:rPr>
        <w:t xml:space="preserve"> folyamat. A </w:t>
      </w:r>
      <w:proofErr w:type="spellStart"/>
      <w:r>
        <w:rPr>
          <w:rFonts w:ascii="Cambria" w:hAnsi="Cambria" w:cs="Verdana"/>
          <w:sz w:val="24"/>
          <w:szCs w:val="24"/>
        </w:rPr>
        <w:t>validációs</w:t>
      </w:r>
      <w:proofErr w:type="spellEnd"/>
      <w:r>
        <w:rPr>
          <w:rFonts w:ascii="Cambria" w:hAnsi="Cambria" w:cs="Verdana"/>
          <w:sz w:val="24"/>
          <w:szCs w:val="24"/>
        </w:rPr>
        <w:t xml:space="preserve"> eljárásokban részt vevő </w:t>
      </w:r>
      <w:proofErr w:type="gramStart"/>
      <w:r>
        <w:rPr>
          <w:rFonts w:ascii="Cambria" w:hAnsi="Cambria" w:cs="Verdana"/>
          <w:sz w:val="24"/>
          <w:szCs w:val="24"/>
        </w:rPr>
        <w:t>kollégákat</w:t>
      </w:r>
      <w:proofErr w:type="gramEnd"/>
      <w:r>
        <w:rPr>
          <w:rFonts w:ascii="Cambria" w:hAnsi="Cambria" w:cs="Verdana"/>
          <w:sz w:val="24"/>
          <w:szCs w:val="24"/>
        </w:rPr>
        <w:t xml:space="preserve"> ezért erre is fel kell készíteni. </w:t>
      </w:r>
    </w:p>
    <w:p w:rsidR="00BA7250" w:rsidRPr="00B10432" w:rsidRDefault="00BA7250" w:rsidP="00BA7250">
      <w:pPr>
        <w:spacing w:after="0"/>
        <w:rPr>
          <w:rFonts w:ascii="Cambria" w:hAnsi="Cambria" w:cs="HelveticaNeue"/>
          <w:sz w:val="24"/>
          <w:szCs w:val="24"/>
        </w:rPr>
      </w:pPr>
    </w:p>
    <w:p w:rsidR="00BA7250" w:rsidRPr="00B10432" w:rsidRDefault="00BA7250" w:rsidP="00BA7250">
      <w:pPr>
        <w:spacing w:after="0"/>
        <w:rPr>
          <w:rFonts w:ascii="Cambria" w:hAnsi="Cambria" w:cs="HelveticaNeue"/>
          <w:sz w:val="24"/>
          <w:szCs w:val="24"/>
        </w:rPr>
      </w:pPr>
    </w:p>
    <w:p w:rsidR="00BA7250" w:rsidRPr="00B10432" w:rsidRDefault="00BA7250" w:rsidP="00BA7250">
      <w:pPr>
        <w:pStyle w:val="Cmsor1"/>
      </w:pPr>
      <w:r>
        <w:t xml:space="preserve">A Pécsi Tudományegyetem képviselőinek szerepe </w:t>
      </w:r>
      <w:proofErr w:type="gramStart"/>
      <w:r>
        <w:t>a</w:t>
      </w:r>
      <w:proofErr w:type="gramEnd"/>
      <w:r>
        <w:t xml:space="preserve"> Projektben</w:t>
      </w:r>
    </w:p>
    <w:p w:rsidR="00BA7250" w:rsidRDefault="00BA7250" w:rsidP="00BA7250">
      <w:pPr>
        <w:spacing w:after="0"/>
        <w:jc w:val="both"/>
        <w:rPr>
          <w:rFonts w:ascii="Cambria" w:hAnsi="Cambria" w:cs="HelveticaNeue"/>
          <w:sz w:val="24"/>
          <w:szCs w:val="24"/>
        </w:rPr>
      </w:pPr>
      <w:r>
        <w:rPr>
          <w:rFonts w:ascii="Cambria" w:hAnsi="Cambria" w:cs="HelveticaNeue"/>
          <w:sz w:val="24"/>
          <w:szCs w:val="24"/>
        </w:rPr>
        <w:t>Feladatunk elsősorban annak a folyamatnak az irányítása, melyben a projekt célkitűzései hatékonyan épülnek be olyan policy vitákba, melyek végül ajánlásokban fejeződnek majd ki. Ezen kívül minden feladat csomag magyarországi részét kidolgozzuk az előzetes terveknek megfelelően. E feladat csomagok a következők:</w:t>
      </w:r>
    </w:p>
    <w:p w:rsidR="00BA7250" w:rsidRDefault="00BA7250" w:rsidP="00BA7250">
      <w:pPr>
        <w:spacing w:after="0"/>
        <w:jc w:val="both"/>
        <w:rPr>
          <w:rFonts w:ascii="Cambria" w:hAnsi="Cambria" w:cs="HelveticaNeue"/>
          <w:sz w:val="24"/>
          <w:szCs w:val="24"/>
        </w:rPr>
      </w:pPr>
    </w:p>
    <w:p w:rsidR="00BA7250" w:rsidRDefault="00BA7250" w:rsidP="00BA7250">
      <w:pPr>
        <w:spacing w:after="0"/>
        <w:jc w:val="both"/>
        <w:rPr>
          <w:rFonts w:ascii="Cambria" w:hAnsi="Cambria" w:cs="HelveticaNeue"/>
          <w:sz w:val="24"/>
          <w:szCs w:val="24"/>
        </w:rPr>
      </w:pPr>
      <w:r>
        <w:rPr>
          <w:rFonts w:ascii="Cambria" w:hAnsi="Cambria" w:cs="HelveticaNeue"/>
          <w:sz w:val="24"/>
          <w:szCs w:val="24"/>
        </w:rPr>
        <w:t>WP1 – Az előzetes tudás megállapítása (vezetői: P1, P2, P6)</w:t>
      </w:r>
    </w:p>
    <w:p w:rsidR="00BA7250" w:rsidRDefault="00BA7250" w:rsidP="00BA7250">
      <w:pPr>
        <w:spacing w:after="0"/>
        <w:jc w:val="both"/>
        <w:rPr>
          <w:rFonts w:ascii="Cambria" w:hAnsi="Cambria" w:cs="HelveticaNeue"/>
          <w:sz w:val="24"/>
          <w:szCs w:val="24"/>
        </w:rPr>
      </w:pPr>
      <w:r>
        <w:rPr>
          <w:rFonts w:ascii="Cambria" w:hAnsi="Cambria" w:cs="HelveticaNeue"/>
          <w:sz w:val="24"/>
          <w:szCs w:val="24"/>
        </w:rPr>
        <w:t xml:space="preserve">WP2 – Az előzetes tudás </w:t>
      </w:r>
      <w:proofErr w:type="spellStart"/>
      <w:r>
        <w:rPr>
          <w:rFonts w:ascii="Cambria" w:hAnsi="Cambria" w:cs="HelveticaNeue"/>
          <w:sz w:val="24"/>
          <w:szCs w:val="24"/>
        </w:rPr>
        <w:t>validálása</w:t>
      </w:r>
      <w:proofErr w:type="spellEnd"/>
      <w:r>
        <w:rPr>
          <w:rFonts w:ascii="Cambria" w:hAnsi="Cambria" w:cs="HelveticaNeue"/>
          <w:sz w:val="24"/>
          <w:szCs w:val="24"/>
        </w:rPr>
        <w:t xml:space="preserve"> meglévő tartalmának frissítése (vezetői: P5, P8)</w:t>
      </w:r>
    </w:p>
    <w:p w:rsidR="00BA7250" w:rsidRDefault="00BA7250" w:rsidP="00BA7250">
      <w:pPr>
        <w:spacing w:after="0"/>
        <w:jc w:val="both"/>
        <w:rPr>
          <w:rFonts w:ascii="Cambria" w:hAnsi="Cambria" w:cs="HelveticaNeue"/>
          <w:sz w:val="24"/>
          <w:szCs w:val="24"/>
        </w:rPr>
      </w:pPr>
      <w:r>
        <w:rPr>
          <w:rFonts w:ascii="Cambria" w:hAnsi="Cambria" w:cs="HelveticaNeue"/>
          <w:sz w:val="24"/>
          <w:szCs w:val="24"/>
        </w:rPr>
        <w:t>WP3 – Útmutatók (vezetői: P4, P10, P1)</w:t>
      </w:r>
    </w:p>
    <w:p w:rsidR="00BA7250" w:rsidRDefault="00BA7250" w:rsidP="00BA7250">
      <w:pPr>
        <w:spacing w:after="0"/>
        <w:jc w:val="both"/>
        <w:rPr>
          <w:rFonts w:ascii="Cambria" w:hAnsi="Cambria" w:cs="HelveticaNeue"/>
          <w:sz w:val="24"/>
          <w:szCs w:val="24"/>
        </w:rPr>
      </w:pPr>
      <w:r>
        <w:rPr>
          <w:rFonts w:ascii="Cambria" w:hAnsi="Cambria" w:cs="HelveticaNeue"/>
          <w:sz w:val="24"/>
          <w:szCs w:val="24"/>
        </w:rPr>
        <w:t xml:space="preserve">WP4 – Tréning </w:t>
      </w:r>
      <w:proofErr w:type="gramStart"/>
      <w:r>
        <w:rPr>
          <w:rFonts w:ascii="Cambria" w:hAnsi="Cambria" w:cs="HelveticaNeue"/>
          <w:sz w:val="24"/>
          <w:szCs w:val="24"/>
        </w:rPr>
        <w:t>kurzus</w:t>
      </w:r>
      <w:proofErr w:type="gramEnd"/>
      <w:r>
        <w:rPr>
          <w:rFonts w:ascii="Cambria" w:hAnsi="Cambria" w:cs="HelveticaNeue"/>
          <w:sz w:val="24"/>
          <w:szCs w:val="24"/>
        </w:rPr>
        <w:t xml:space="preserve"> (vezetői P6, P3)</w:t>
      </w:r>
    </w:p>
    <w:p w:rsidR="00BA7250" w:rsidRDefault="00BA7250" w:rsidP="00BA7250">
      <w:pPr>
        <w:spacing w:after="0"/>
        <w:jc w:val="both"/>
        <w:rPr>
          <w:rFonts w:ascii="Cambria" w:hAnsi="Cambria" w:cs="HelveticaNeue"/>
          <w:sz w:val="24"/>
          <w:szCs w:val="24"/>
        </w:rPr>
      </w:pPr>
      <w:r>
        <w:rPr>
          <w:rFonts w:ascii="Cambria" w:hAnsi="Cambria" w:cs="HelveticaNeue"/>
          <w:sz w:val="24"/>
          <w:szCs w:val="24"/>
        </w:rPr>
        <w:t>WP5 – Policy ajánlások (vezetői: P11, P4, P1)</w:t>
      </w:r>
    </w:p>
    <w:p w:rsidR="00BA7250" w:rsidRDefault="00BA7250" w:rsidP="00BA7250">
      <w:pPr>
        <w:spacing w:after="0"/>
        <w:jc w:val="both"/>
        <w:rPr>
          <w:rFonts w:ascii="Cambria" w:hAnsi="Cambria" w:cs="HelveticaNeue"/>
          <w:sz w:val="24"/>
          <w:szCs w:val="24"/>
        </w:rPr>
      </w:pPr>
      <w:r>
        <w:rPr>
          <w:rFonts w:ascii="Cambria" w:hAnsi="Cambria" w:cs="HelveticaNeue"/>
          <w:sz w:val="24"/>
          <w:szCs w:val="24"/>
        </w:rPr>
        <w:t>WP6 – Interaktív Platform (vezetői: P7, P1, P5)</w:t>
      </w:r>
    </w:p>
    <w:p w:rsidR="00BA7250" w:rsidRDefault="00BA7250" w:rsidP="00BA7250">
      <w:pPr>
        <w:spacing w:after="0"/>
        <w:jc w:val="both"/>
        <w:rPr>
          <w:rFonts w:ascii="Cambria" w:hAnsi="Cambria" w:cs="HelveticaNeue"/>
          <w:sz w:val="24"/>
          <w:szCs w:val="24"/>
        </w:rPr>
      </w:pPr>
      <w:r>
        <w:rPr>
          <w:rFonts w:ascii="Cambria" w:hAnsi="Cambria" w:cs="HelveticaNeue"/>
          <w:sz w:val="24"/>
          <w:szCs w:val="24"/>
        </w:rPr>
        <w:t>WP7 – Minőségbiztosítás (vezetői: P9, P1)</w:t>
      </w:r>
    </w:p>
    <w:p w:rsidR="00BA7250" w:rsidRDefault="00BA7250" w:rsidP="00BA7250">
      <w:pPr>
        <w:spacing w:after="0"/>
        <w:jc w:val="both"/>
        <w:rPr>
          <w:rFonts w:ascii="Cambria" w:hAnsi="Cambria" w:cs="HelveticaNeue"/>
          <w:sz w:val="24"/>
          <w:szCs w:val="24"/>
        </w:rPr>
      </w:pPr>
      <w:r>
        <w:rPr>
          <w:rFonts w:ascii="Cambria" w:hAnsi="Cambria" w:cs="HelveticaNeue"/>
          <w:sz w:val="24"/>
          <w:szCs w:val="24"/>
        </w:rPr>
        <w:t xml:space="preserve">WP8 – </w:t>
      </w:r>
      <w:proofErr w:type="spellStart"/>
      <w:r>
        <w:rPr>
          <w:rFonts w:ascii="Cambria" w:hAnsi="Cambria" w:cs="HelveticaNeue"/>
          <w:sz w:val="24"/>
          <w:szCs w:val="24"/>
        </w:rPr>
        <w:t>Disszemináció</w:t>
      </w:r>
      <w:proofErr w:type="spellEnd"/>
      <w:r>
        <w:rPr>
          <w:rFonts w:ascii="Cambria" w:hAnsi="Cambria" w:cs="HelveticaNeue"/>
          <w:sz w:val="24"/>
          <w:szCs w:val="24"/>
        </w:rPr>
        <w:t xml:space="preserve"> (vezetői: P1, P2)</w:t>
      </w:r>
    </w:p>
    <w:p w:rsidR="00BA7250" w:rsidRDefault="00BA7250" w:rsidP="00BA7250">
      <w:pPr>
        <w:spacing w:after="0"/>
        <w:jc w:val="both"/>
        <w:rPr>
          <w:rFonts w:ascii="Cambria" w:hAnsi="Cambria" w:cs="HelveticaNeue"/>
          <w:sz w:val="24"/>
          <w:szCs w:val="24"/>
        </w:rPr>
      </w:pPr>
      <w:r>
        <w:rPr>
          <w:rFonts w:ascii="Cambria" w:hAnsi="Cambria" w:cs="HelveticaNeue"/>
          <w:sz w:val="24"/>
          <w:szCs w:val="24"/>
        </w:rPr>
        <w:t>WP9 – Felhasználás (vezetői P2, P1)</w:t>
      </w:r>
    </w:p>
    <w:p w:rsidR="00BA7250" w:rsidRDefault="00BA7250" w:rsidP="00BA7250">
      <w:pPr>
        <w:spacing w:after="0"/>
        <w:jc w:val="both"/>
        <w:rPr>
          <w:rFonts w:ascii="Cambria" w:hAnsi="Cambria" w:cs="HelveticaNeue"/>
          <w:sz w:val="24"/>
          <w:szCs w:val="24"/>
        </w:rPr>
      </w:pPr>
    </w:p>
    <w:p w:rsidR="00BA7250" w:rsidRDefault="00BA7250" w:rsidP="00BA7250">
      <w:pPr>
        <w:spacing w:after="0"/>
        <w:jc w:val="both"/>
        <w:rPr>
          <w:rFonts w:ascii="Cambria" w:hAnsi="Cambria" w:cs="HelveticaNeue"/>
          <w:sz w:val="24"/>
          <w:szCs w:val="24"/>
        </w:rPr>
      </w:pPr>
      <w:r>
        <w:rPr>
          <w:rFonts w:ascii="Cambria" w:hAnsi="Cambria" w:cs="HelveticaNeue"/>
          <w:sz w:val="24"/>
          <w:szCs w:val="24"/>
        </w:rPr>
        <w:t>A Pécsi Tudományegyetem (P11) képviselőiként a következő részfeladataink lesznek:</w:t>
      </w:r>
    </w:p>
    <w:p w:rsidR="00BA7250" w:rsidRDefault="00BA7250" w:rsidP="00BA7250">
      <w:pPr>
        <w:pStyle w:val="Listaszerbekezds"/>
        <w:numPr>
          <w:ilvl w:val="0"/>
          <w:numId w:val="2"/>
        </w:numPr>
        <w:spacing w:before="0" w:after="0"/>
        <w:jc w:val="both"/>
        <w:rPr>
          <w:rFonts w:ascii="Cambria" w:hAnsi="Cambria" w:cs="HelveticaNeue"/>
          <w:sz w:val="24"/>
          <w:szCs w:val="24"/>
        </w:rPr>
      </w:pPr>
      <w:r>
        <w:rPr>
          <w:rFonts w:ascii="Cambria" w:hAnsi="Cambria" w:cs="HelveticaNeue"/>
          <w:sz w:val="24"/>
          <w:szCs w:val="24"/>
        </w:rPr>
        <w:t xml:space="preserve">részvétel a személyes és </w:t>
      </w:r>
      <w:proofErr w:type="gramStart"/>
      <w:r>
        <w:rPr>
          <w:rFonts w:ascii="Cambria" w:hAnsi="Cambria" w:cs="HelveticaNeue"/>
          <w:sz w:val="24"/>
          <w:szCs w:val="24"/>
        </w:rPr>
        <w:t>virtuális</w:t>
      </w:r>
      <w:proofErr w:type="gramEnd"/>
      <w:r>
        <w:rPr>
          <w:rFonts w:ascii="Cambria" w:hAnsi="Cambria" w:cs="HelveticaNeue"/>
          <w:sz w:val="24"/>
          <w:szCs w:val="24"/>
        </w:rPr>
        <w:t xml:space="preserve"> megbeszéléseken</w:t>
      </w:r>
    </w:p>
    <w:p w:rsidR="00BA7250" w:rsidRDefault="00BA7250" w:rsidP="00BA7250">
      <w:pPr>
        <w:pStyle w:val="Listaszerbekezds"/>
        <w:numPr>
          <w:ilvl w:val="0"/>
          <w:numId w:val="2"/>
        </w:numPr>
        <w:spacing w:before="0" w:after="0"/>
        <w:jc w:val="both"/>
        <w:rPr>
          <w:rFonts w:ascii="Cambria" w:hAnsi="Cambria" w:cs="HelveticaNeue"/>
          <w:sz w:val="24"/>
          <w:szCs w:val="24"/>
        </w:rPr>
      </w:pPr>
      <w:r>
        <w:rPr>
          <w:rFonts w:ascii="Cambria" w:hAnsi="Cambria" w:cs="HelveticaNeue"/>
          <w:sz w:val="24"/>
          <w:szCs w:val="24"/>
        </w:rPr>
        <w:t>az Előzetes Tanulás Szeminárium előkészítése és levezetése a Civil Közösségek Háza közreműködésével</w:t>
      </w:r>
    </w:p>
    <w:p w:rsidR="00BA7250" w:rsidRDefault="00BA7250" w:rsidP="00BA7250">
      <w:pPr>
        <w:pStyle w:val="Listaszerbekezds"/>
        <w:numPr>
          <w:ilvl w:val="0"/>
          <w:numId w:val="2"/>
        </w:numPr>
        <w:spacing w:before="0" w:after="0"/>
        <w:jc w:val="both"/>
        <w:rPr>
          <w:rFonts w:ascii="Cambria" w:hAnsi="Cambria" w:cs="HelveticaNeue"/>
          <w:sz w:val="24"/>
          <w:szCs w:val="24"/>
        </w:rPr>
      </w:pPr>
      <w:r>
        <w:rPr>
          <w:rFonts w:ascii="Cambria" w:hAnsi="Cambria" w:cs="HelveticaNeue"/>
          <w:sz w:val="24"/>
          <w:szCs w:val="24"/>
        </w:rPr>
        <w:t>részvétel az Előzetes Tanulás Szemináriumon</w:t>
      </w:r>
    </w:p>
    <w:p w:rsidR="00BA7250" w:rsidRDefault="00BA7250" w:rsidP="00BA7250">
      <w:pPr>
        <w:pStyle w:val="Listaszerbekezds"/>
        <w:numPr>
          <w:ilvl w:val="0"/>
          <w:numId w:val="2"/>
        </w:numPr>
        <w:spacing w:before="0" w:after="0"/>
        <w:jc w:val="both"/>
        <w:rPr>
          <w:rFonts w:ascii="Cambria" w:hAnsi="Cambria" w:cs="HelveticaNeue"/>
          <w:sz w:val="24"/>
          <w:szCs w:val="24"/>
        </w:rPr>
      </w:pPr>
      <w:r>
        <w:rPr>
          <w:rFonts w:ascii="Cambria" w:hAnsi="Cambria" w:cs="HelveticaNeue"/>
          <w:sz w:val="24"/>
          <w:szCs w:val="24"/>
        </w:rPr>
        <w:t xml:space="preserve">útmutatók készítése országos szinten a magyar felsőoktatás számára, helyi szinten a Pécsi Tudományegyetem számára, ennek rövid változatát angolul, teljes változatát magyarul, végül a teljes európai szintű útmutató magyarra fordítása </w:t>
      </w:r>
    </w:p>
    <w:p w:rsidR="00BA7250" w:rsidRDefault="00BA7250" w:rsidP="00BA7250">
      <w:pPr>
        <w:pStyle w:val="Listaszerbekezds"/>
        <w:numPr>
          <w:ilvl w:val="0"/>
          <w:numId w:val="2"/>
        </w:numPr>
        <w:spacing w:before="0" w:after="0"/>
        <w:jc w:val="both"/>
        <w:rPr>
          <w:rFonts w:ascii="Cambria" w:hAnsi="Cambria" w:cs="HelveticaNeue"/>
          <w:sz w:val="24"/>
          <w:szCs w:val="24"/>
        </w:rPr>
      </w:pPr>
      <w:r>
        <w:rPr>
          <w:rFonts w:ascii="Cambria" w:hAnsi="Cambria" w:cs="HelveticaNeue"/>
          <w:sz w:val="24"/>
          <w:szCs w:val="24"/>
        </w:rPr>
        <w:t xml:space="preserve">részvétel transznacionális képzésben </w:t>
      </w:r>
      <w:proofErr w:type="spellStart"/>
      <w:r>
        <w:rPr>
          <w:rFonts w:ascii="Cambria" w:hAnsi="Cambria" w:cs="HelveticaNeue"/>
          <w:sz w:val="24"/>
          <w:szCs w:val="24"/>
        </w:rPr>
        <w:t>validációs</w:t>
      </w:r>
      <w:proofErr w:type="spellEnd"/>
      <w:r>
        <w:rPr>
          <w:rFonts w:ascii="Cambria" w:hAnsi="Cambria" w:cs="HelveticaNeue"/>
          <w:sz w:val="24"/>
          <w:szCs w:val="24"/>
        </w:rPr>
        <w:t xml:space="preserve"> dolgozók számára</w:t>
      </w:r>
    </w:p>
    <w:p w:rsidR="00BA7250" w:rsidRDefault="00BA7250" w:rsidP="00BA7250">
      <w:pPr>
        <w:pStyle w:val="Listaszerbekezds"/>
        <w:numPr>
          <w:ilvl w:val="0"/>
          <w:numId w:val="2"/>
        </w:numPr>
        <w:spacing w:before="0" w:after="0"/>
        <w:jc w:val="both"/>
        <w:rPr>
          <w:rFonts w:ascii="Cambria" w:hAnsi="Cambria" w:cs="HelveticaNeue"/>
          <w:sz w:val="24"/>
          <w:szCs w:val="24"/>
        </w:rPr>
      </w:pPr>
      <w:r>
        <w:rPr>
          <w:rFonts w:ascii="Cambria" w:hAnsi="Cambria" w:cs="HelveticaNeue"/>
          <w:sz w:val="24"/>
          <w:szCs w:val="24"/>
        </w:rPr>
        <w:t xml:space="preserve">a </w:t>
      </w:r>
      <w:proofErr w:type="gramStart"/>
      <w:r>
        <w:rPr>
          <w:rFonts w:ascii="Cambria" w:hAnsi="Cambria" w:cs="HelveticaNeue"/>
          <w:sz w:val="24"/>
          <w:szCs w:val="24"/>
        </w:rPr>
        <w:t>kurzus</w:t>
      </w:r>
      <w:proofErr w:type="gramEnd"/>
      <w:r>
        <w:rPr>
          <w:rFonts w:ascii="Cambria" w:hAnsi="Cambria" w:cs="HelveticaNeue"/>
          <w:sz w:val="24"/>
          <w:szCs w:val="24"/>
        </w:rPr>
        <w:t xml:space="preserve"> magyarra fordítása</w:t>
      </w:r>
    </w:p>
    <w:p w:rsidR="00BA7250" w:rsidRDefault="00BA7250" w:rsidP="00BA7250">
      <w:pPr>
        <w:pStyle w:val="Listaszerbekezds"/>
        <w:numPr>
          <w:ilvl w:val="0"/>
          <w:numId w:val="2"/>
        </w:numPr>
        <w:spacing w:before="0" w:after="0"/>
        <w:jc w:val="both"/>
        <w:rPr>
          <w:rFonts w:ascii="Cambria" w:hAnsi="Cambria" w:cs="HelveticaNeue"/>
          <w:sz w:val="24"/>
          <w:szCs w:val="24"/>
        </w:rPr>
      </w:pPr>
      <w:r>
        <w:rPr>
          <w:rFonts w:ascii="Cambria" w:hAnsi="Cambria" w:cs="HelveticaNeue"/>
          <w:sz w:val="24"/>
          <w:szCs w:val="24"/>
        </w:rPr>
        <w:t xml:space="preserve">egy napos </w:t>
      </w:r>
      <w:proofErr w:type="spellStart"/>
      <w:r>
        <w:rPr>
          <w:rFonts w:ascii="Cambria" w:hAnsi="Cambria" w:cs="HelveticaNeue"/>
          <w:sz w:val="24"/>
          <w:szCs w:val="24"/>
        </w:rPr>
        <w:t>validációs</w:t>
      </w:r>
      <w:proofErr w:type="spellEnd"/>
      <w:r>
        <w:rPr>
          <w:rFonts w:ascii="Cambria" w:hAnsi="Cambria" w:cs="HelveticaNeue"/>
          <w:sz w:val="24"/>
          <w:szCs w:val="24"/>
        </w:rPr>
        <w:t xml:space="preserve"> tréning szervezése és lebonyolítása a Pécsi Tudományegyetem </w:t>
      </w:r>
      <w:proofErr w:type="spellStart"/>
      <w:r>
        <w:rPr>
          <w:rFonts w:ascii="Cambria" w:hAnsi="Cambria" w:cs="HelveticaNeue"/>
          <w:sz w:val="24"/>
          <w:szCs w:val="24"/>
        </w:rPr>
        <w:t>validációs</w:t>
      </w:r>
      <w:proofErr w:type="spellEnd"/>
      <w:r>
        <w:rPr>
          <w:rFonts w:ascii="Cambria" w:hAnsi="Cambria" w:cs="HelveticaNeue"/>
          <w:sz w:val="24"/>
          <w:szCs w:val="24"/>
        </w:rPr>
        <w:t xml:space="preserve"> munkatársai számára</w:t>
      </w:r>
    </w:p>
    <w:p w:rsidR="00BA7250" w:rsidRDefault="00BA7250" w:rsidP="00BA7250">
      <w:pPr>
        <w:pStyle w:val="Listaszerbekezds"/>
        <w:numPr>
          <w:ilvl w:val="0"/>
          <w:numId w:val="2"/>
        </w:numPr>
        <w:spacing w:before="0" w:after="0"/>
        <w:jc w:val="both"/>
        <w:rPr>
          <w:rFonts w:ascii="Cambria" w:hAnsi="Cambria" w:cs="HelveticaNeue"/>
          <w:sz w:val="24"/>
          <w:szCs w:val="24"/>
        </w:rPr>
      </w:pPr>
      <w:r>
        <w:rPr>
          <w:rFonts w:ascii="Cambria" w:hAnsi="Cambria" w:cs="HelveticaNeue"/>
          <w:sz w:val="24"/>
          <w:szCs w:val="24"/>
        </w:rPr>
        <w:t xml:space="preserve">próbaként 5 újonnan érkező </w:t>
      </w:r>
      <w:proofErr w:type="gramStart"/>
      <w:r>
        <w:rPr>
          <w:rFonts w:ascii="Cambria" w:hAnsi="Cambria" w:cs="HelveticaNeue"/>
          <w:sz w:val="24"/>
          <w:szCs w:val="24"/>
        </w:rPr>
        <w:t>migráns jelentkező</w:t>
      </w:r>
      <w:proofErr w:type="gramEnd"/>
      <w:r>
        <w:rPr>
          <w:rFonts w:ascii="Cambria" w:hAnsi="Cambria" w:cs="HelveticaNeue"/>
          <w:sz w:val="24"/>
          <w:szCs w:val="24"/>
        </w:rPr>
        <w:t xml:space="preserve"> </w:t>
      </w:r>
      <w:proofErr w:type="spellStart"/>
      <w:r>
        <w:rPr>
          <w:rFonts w:ascii="Cambria" w:hAnsi="Cambria" w:cs="HelveticaNeue"/>
          <w:sz w:val="24"/>
          <w:szCs w:val="24"/>
        </w:rPr>
        <w:t>validációs</w:t>
      </w:r>
      <w:proofErr w:type="spellEnd"/>
      <w:r>
        <w:rPr>
          <w:rFonts w:ascii="Cambria" w:hAnsi="Cambria" w:cs="HelveticaNeue"/>
          <w:sz w:val="24"/>
          <w:szCs w:val="24"/>
        </w:rPr>
        <w:t xml:space="preserve"> eljárásának levezetése</w:t>
      </w:r>
    </w:p>
    <w:p w:rsidR="00BA7250" w:rsidRDefault="00BA7250" w:rsidP="00BA7250">
      <w:pPr>
        <w:pStyle w:val="Listaszerbekezds"/>
        <w:numPr>
          <w:ilvl w:val="0"/>
          <w:numId w:val="2"/>
        </w:numPr>
        <w:spacing w:before="0" w:after="0"/>
        <w:jc w:val="both"/>
        <w:rPr>
          <w:rFonts w:ascii="Cambria" w:hAnsi="Cambria" w:cs="HelveticaNeue"/>
          <w:sz w:val="24"/>
          <w:szCs w:val="24"/>
        </w:rPr>
      </w:pPr>
      <w:r>
        <w:rPr>
          <w:rFonts w:ascii="Cambria" w:hAnsi="Cambria" w:cs="HelveticaNeue"/>
          <w:sz w:val="24"/>
          <w:szCs w:val="24"/>
        </w:rPr>
        <w:t>a policy ajánlások megfogalmazásainak összegyűjtése és egységesítése, ennek keretében egy budapesti megbeszélés leszervezése az ajánlások véglegesítése céljából</w:t>
      </w:r>
    </w:p>
    <w:p w:rsidR="00BA7250" w:rsidRPr="007275BF" w:rsidRDefault="00BA7250" w:rsidP="00BA7250">
      <w:pPr>
        <w:pStyle w:val="Listaszerbekezds"/>
        <w:numPr>
          <w:ilvl w:val="0"/>
          <w:numId w:val="2"/>
        </w:numPr>
        <w:spacing w:before="0" w:after="0"/>
        <w:jc w:val="both"/>
        <w:rPr>
          <w:rFonts w:ascii="Cambria" w:hAnsi="Cambria" w:cs="HelveticaNeue"/>
          <w:sz w:val="24"/>
          <w:szCs w:val="24"/>
        </w:rPr>
      </w:pPr>
      <w:proofErr w:type="spellStart"/>
      <w:r>
        <w:rPr>
          <w:rFonts w:ascii="Cambria" w:hAnsi="Cambria" w:cs="HelveticaNeue"/>
          <w:sz w:val="24"/>
          <w:szCs w:val="24"/>
        </w:rPr>
        <w:t>disszeminációs</w:t>
      </w:r>
      <w:proofErr w:type="spellEnd"/>
      <w:r>
        <w:rPr>
          <w:rFonts w:ascii="Cambria" w:hAnsi="Cambria" w:cs="HelveticaNeue"/>
          <w:sz w:val="24"/>
          <w:szCs w:val="24"/>
        </w:rPr>
        <w:t xml:space="preserve"> és felhasználási tevékenységek helyi és nemzeti szinten</w:t>
      </w:r>
    </w:p>
    <w:p w:rsidR="00BA7250" w:rsidRDefault="00BA7250"/>
    <w:p w:rsidR="00BA7250" w:rsidRDefault="00BA7250"/>
    <w:p w:rsidR="00BA7250" w:rsidRDefault="00BA7250" w:rsidP="00BA7250">
      <w:bookmarkStart w:id="0" w:name="_GoBack"/>
      <w:bookmarkEnd w:id="0"/>
      <w:r>
        <w:t xml:space="preserve">A projekt hivatalos honlapja: </w:t>
      </w:r>
      <w:hyperlink r:id="rId5" w:history="1">
        <w:r>
          <w:rPr>
            <w:rStyle w:val="Hiperhivatkozs"/>
          </w:rPr>
          <w:t>https://vince.eucen.eu/</w:t>
        </w:r>
      </w:hyperlink>
    </w:p>
    <w:sectPr w:rsidR="00BA7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A2687"/>
    <w:multiLevelType w:val="hybridMultilevel"/>
    <w:tmpl w:val="682AAD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3132E"/>
    <w:multiLevelType w:val="hybridMultilevel"/>
    <w:tmpl w:val="EF52B330"/>
    <w:lvl w:ilvl="0" w:tplc="0E10D75E">
      <w:numFmt w:val="bullet"/>
      <w:lvlText w:val="-"/>
      <w:lvlJc w:val="left"/>
      <w:pPr>
        <w:ind w:left="720" w:hanging="360"/>
      </w:pPr>
      <w:rPr>
        <w:rFonts w:ascii="Cambria" w:eastAsiaTheme="minorEastAsia" w:hAnsi="Cambria" w:cs="HelveticaNeue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50"/>
    <w:rsid w:val="00BA7250"/>
    <w:rsid w:val="00C367BA"/>
    <w:rsid w:val="00F5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2B9D"/>
  <w15:chartTrackingRefBased/>
  <w15:docId w15:val="{F806A452-586C-4EE1-A989-BDDB10EA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67BA"/>
  </w:style>
  <w:style w:type="paragraph" w:styleId="Cmsor1">
    <w:name w:val="heading 1"/>
    <w:basedOn w:val="Norml"/>
    <w:next w:val="Norml"/>
    <w:link w:val="Cmsor1Char"/>
    <w:uiPriority w:val="9"/>
    <w:qFormat/>
    <w:rsid w:val="00BA725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C367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36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hivatkozs">
    <w:name w:val="Hyperlink"/>
    <w:basedOn w:val="Bekezdsalapbettpusa"/>
    <w:uiPriority w:val="99"/>
    <w:semiHidden/>
    <w:unhideWhenUsed/>
    <w:rsid w:val="00BA7250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BA7250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paragraph" w:styleId="Alcm">
    <w:name w:val="Subtitle"/>
    <w:basedOn w:val="Norml"/>
    <w:next w:val="Norml"/>
    <w:link w:val="AlcmChar"/>
    <w:uiPriority w:val="11"/>
    <w:qFormat/>
    <w:rsid w:val="00BA7250"/>
    <w:pPr>
      <w:spacing w:after="500" w:line="240" w:lineRule="auto"/>
    </w:pPr>
    <w:rPr>
      <w:rFonts w:eastAsiaTheme="minorEastAsia"/>
      <w:caps/>
      <w:color w:val="595959" w:themeColor="text1" w:themeTint="A6"/>
      <w:spacing w:val="10"/>
      <w:sz w:val="21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BA7250"/>
    <w:rPr>
      <w:rFonts w:eastAsiaTheme="minorEastAsia"/>
      <w:caps/>
      <w:color w:val="595959" w:themeColor="text1" w:themeTint="A6"/>
      <w:spacing w:val="10"/>
      <w:sz w:val="21"/>
      <w:szCs w:val="21"/>
    </w:rPr>
  </w:style>
  <w:style w:type="paragraph" w:styleId="Listaszerbekezds">
    <w:name w:val="List Paragraph"/>
    <w:basedOn w:val="Norml"/>
    <w:uiPriority w:val="34"/>
    <w:qFormat/>
    <w:rsid w:val="00BA7250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table" w:styleId="Rcsostblzat">
    <w:name w:val="Table Grid"/>
    <w:basedOn w:val="Normltblzat"/>
    <w:uiPriority w:val="39"/>
    <w:rsid w:val="00BA7250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nce.eucen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1. egyéni sém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979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 Inez Zsófia dr.</dc:creator>
  <cp:keywords/>
  <dc:description/>
  <cp:lastModifiedBy>Koller Inez Zsófia dr.</cp:lastModifiedBy>
  <cp:revision>1</cp:revision>
  <dcterms:created xsi:type="dcterms:W3CDTF">2020-02-04T06:24:00Z</dcterms:created>
  <dcterms:modified xsi:type="dcterms:W3CDTF">2020-02-04T06:34:00Z</dcterms:modified>
</cp:coreProperties>
</file>