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Valamennyi oktatónak, TDK felelősnek, hallgatónak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Helyben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45"/>
        </w:tabs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Kedves Kolleginák, Kollégák, TDK Felelősök, TDK-zó Hallgatók!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Hagyományainknak megfelelően a 2025/2026-es tanév tavaszi szemeszterében is megrendezzük a Kari Tudományos Diákköri Konferenciát, amelyen a hallgatók a 38. Országos Tudományos Diákköri Konferencián (OTDK) való részvételre szerezhetnek jogosultságot. A konferencia tervezett időpontja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2026. április 24. péntek.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Minthogy az OTDK-ra történő nevezés előfeltétele, hogy az indulni kívánó hallgatók a megfelelő formai kritériumoknak megfelelő KTDK dolgozataikat az OTDT online rendszerébe feltöltsék, fontos, hogy az alábbi kéréseket, instrukciókat, határidőket maximálisan vegye mindenki figyelembe.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Határidők, időpontok: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2026. február 8. (vasárnap) 24:00-ig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3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klmj44q9nq7a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 a nevezés leadása elektronikus (PDF) formátumban;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3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 az online regisztrációs űrlap kitöltése;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 a dolgozatok megküldése elektronikus (PDF) formátumban;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1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2026. február–április: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opponensek felkérése; dolgozatok bíráltatása; az opponensi vélemények beérkezése, megküldése a hallgatóknak; a szekciók beosztása; a zsűrik összeállítása; a konferencia előkészítése;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2026. április 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3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9.00–16.00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Kari Tudományos Diákköri Konferencia (a jelentkezők számának függvényében változhat);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17:00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Ünnepélyes eredményhirdetés;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2026. május: az első alkalommal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részt vevők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regisztrációja az OTDT online rendszerben (egyénileg);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2026. május-június: A pályamunkák feltöltése az OTDT rendszerbe (egyénileg).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A nevezés feltételei: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kitöltött, aláírt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jelentkezési lap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(letölthető a KTDT honlapjáról) elektronikus változatának eljuttatása a KTDT-hez, illetőleg a szak, intézet TDK-felelőséhez.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 nevezési lapot WORD formátumban, majd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láírás után digitalizálva (PDF-formátumban)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küldjék a KTDT email címére!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7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 Intézményi igazolás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leadása az aktív hallgatói jogviszonyról digitalizálva (PDF formátumban).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Ahol a TO a beiratkozáshoz köti a tavaszi félévre szóló aktív hallgatói jogviszony igazolását, ott 10 nap haladék adható ennek az igazolásnak a leadására.)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7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A jelentkezési lapon található linken az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online regisztrációs űrlap kitöltése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7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dolgozat rövid (max. 1000n terjedelmű)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tartalmi összefoglalója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elektronikus változatának (WORD formátumban) eljuttatása a KTDT-hez, valamint az intézet, szak TDK-felelősének drótposta címére.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7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jeligével ellátott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pályaművet PDF-formátumban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 KTDT drótposta címére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ktdt.btk.pte@gmail.com)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kérjük eljuttatni. Kérjük a pályamunkán ne tüntessék fel a szerző és a témavezető nevét!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konzulenssel tett közös nyilatkozat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(az űrlap letölthető a honlapról) eljuttatása a KTDT-hez (aláírás után digitalizálva, PDF formátumban).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A résztvevők köre: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1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konferenciára a PTE BTK-val aktív hallgatói jogviszonyban álló hallgatók nevezhetnek.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1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Azok a hallgatók jelentkezhetnek, akik a jelentkezés előtt még nem szereztek MA 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agy osztatlan tanári szakon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abszolutóriumot, és nem záróvizsgáztak. Ebből következik, hogy a 2026 januárjában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MA-n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végzett hallgatók sajnálatos módon nem mérettethetik meg magukat a versenyen.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1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levelezős hallgatók részvételével kapcsolatban a következő kritériumot kell szem előtt tartanunk: másoddiplomás alapképzésben 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észt vevők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közül a második szakjukat folyamatos jogviszony keretében végzők mutathatják be dolgozataikat – melyeket e szak keretében készítettek.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A pályamű: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1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leendő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diplomamunkával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megegyezhet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TDK dolgozat. Minthogy a KTDK kiírása értelmében a diplomadolgozatok leadási határidejét megelőzi a KTDK-ra történő jelentkezés dátuma, így értelemszerűen a tavaszi szemeszterben záróvizsgázni kívánó hallgatók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részt vehetnek készülő szakdolgozatukkal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konferencián. (Majd az OTDK-ra történő nevezéshez közös nyilatkozatot kell tenni a konzulenssel, hogy még az abszolutórium kiállítása előtt mutatták be a pályaművet.)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Az OTDK-ra benyújtott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munkának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azonosnak kell lennie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azzal a pályamunkával, melyet a hallgató az intézményi konferencián bemutatott. A KTDK-n bemutatott dolgozatok címei a konferenciát követően az OTDK adatbázisában rögzítésre kerülnek.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formai és terjedelmi kritériumokat illetően az OTDT előírásai az irányadóak. Annál is inkább érdemes tanulmányozni mivel a korábbi tapasztalatok szerint az egyes szekciók elvárásai nem egységesek. (Segítségként az alábbiakban a legfontosabb paramétereket összefoglaltuk az előző OTDK alapján.) Bővebben l. a 37. OTDK szekciófelhívásainak formai követelményekről szóló mellékleteit, amelyek szekciónként elérhetők itt:  https://otdk.hu/otdk2025/szekciok-felhivasai/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1. Humán Tudományi Szekció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i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Általános formai kritériumok: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Betűtípus: Times New Roman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Betűméret: 12 pt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Sortáv: 1,5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Margó: 2,5 cm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Szekció specifikus kritériumok: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pályamunka terjedelme minimum 40.000, maximum 90.000 leütés (karakter szóközzel) lehet, amibe a (láb)jegyzetek, a tartalom- és irodalomjegyzék is beleszámít, a mellékletek viszont ezen kívül értendők. A mellékletek kiegészítő dokumentumként tölthetők fel az OTDT online rendszerbe, a kiegészítő dokumentumra vonatkozó fenti leírás alapján.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 Pedagógiai, Pszichológiai, Andragógiai és Könyvtártudományi Szekció 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Általános formai kritériumok: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Betűtípus: Times New Roman Betűméret: 12 pt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Sortáv: 1,5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Margó: 2,5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Szekció specifikus kritériumok: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dolgozat terjedelmi követelménye minimum 20 oldal, maximum 40 oldal. E terjedelembe beletartozik a tartalomjegyzék, az absztrakt és az irodalomjegyzék. A főszövegben szintén javasolt elhelyezni azokat az ábrákat és táblázatokat, melyek a szövegben leírtak megértéséhez szükségesek. Amennyiben ezeken felül is szeretne a szerző táblázatokat, ábrákat csatolni, ám azok nem nélkülözhetetlenek a főszöveg megértéséhez, azok a mellékletben helyezhetőek el. A pályamunkában szereplő ábrákat és táblázatokat számozni kell, és a szövegben ennek megfelelően kell hivatkozni rájuk. A dolgozat melléklete (mely a 20-40 oldal terjedelmen felül számítható) külön fájlban, kiegészítő dokumentumként kezelendő és tölthető fel (amennyiben azonban a melléklettel együtt sem haladná meg a terjedelem a 40 oldalt, egy fájlként feltölthető a pályamunkával együtt). Kiegészítő dokumentum feltöltése tehát engedélyezett. A kiegészítő dokumentumot egyetlen fájlként kell feltölteni, amelynek maximum mérete 10 megabájt lehet.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Hivatkozások módja: A hivatkozások és az irodalomjegyzék formátumának az APA hivatkozási stílust kell követni, erről részletes tájékoztatás található a Gyermeknevelés Tudományos Folyóirat honlapján, amely az alábbi linken keresztül elérhető: http://ojs.elte.hu/gyermekneveles/stylesheet.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Felhívjuk a hallgatók figyelmét, hogy a dolgozatok címoldalán fel kell tüntetni a szerző(k) nevét, intézményüket és a témavezető(k) nevét is.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Tanulás- és Tanításmódszertani – Tudástechnológiai Szekció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Általános formai kritériumok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betűtípusra és oldalbeállításra vonatkozó alábbi paraméterek csak ajánlások, amennyiben a tudományterületi sajátosságok indokolják, azoktól el lehet térni.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Betűtípus: Times New Roman (szakmaspecifikusan más betűtípus is lehetséges: pl. matematikai képletek esetén).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pályamunkában szereplő ábrákat és táblázatokat arab számokkal kell számozni, és a szövegben ennek megfelelően kell hivatkozni rájuk. A más szerzőktől származó ábrák, táblázatok pontos forrását minden esetben kérjük feltüntetni az ábra, illetve a táblázat címe alatt.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Betűméret: 12 pt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Sortáv: 1,5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Margó: 2,5 cm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Szekcióspecifikus kritériumok: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pályamunkának minimum 30 oldalnak kell lennie mellékletek nélkül. A teljes terjedelem irodalomjegyzékkel, mellékletekkel, fényképekkel, hivatkozásokkal, függelékkel együtt maximum 100 oldal lehet.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maximum oldalszámot az OTDT online rendszer a feltöltéskor ellenőrzi.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Kiegészítő dokumentum feltöltése engedélyezett. A kiegészítő dokumentumot egy fájlként kell feltölteni, amelynek mérete maximum 10 megabájt lehet.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hivatkozások módja: APA 7.0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link: https://sti.ppk.elte.hu/dstore/document/4459/APA%207.pdf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Címoldal: a szerző(k) nevét, szakját és képzési szintjét, a TDK-pályamunka címét, a küldő intézmény nevét, készítés éve.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pályamunkában szerepeljen tartalomjegyzék, amely a pályamunka főbb felépítését tartalmazza, oldalszámokkal együtt.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Címek, alcímek: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Az alcímek, fejezetcímek jelzése decimális számokkal történjen a következő módon: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Elsőrendű; 1.2 Másodrendű; 1.2.3 Harmadrendű.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Szövegbeli kiemelések: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szövegben a nyelvi adatokat és példákat dőlt betűvel, a tartalmi kiemelést félkövér betűkkel kell jelezni. Aláhúzást, más megoldást kiemelésre ne használjon!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 Társadalomtudományi Szekció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Általános formai kritériumok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Betűtípus: Times New Roman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Betűméret: 12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Sortáv: 1,5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Margó: 2,5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Szekció specifikus kritériumok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pályamunka minimum oldalszáma: 20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pályamunka maximum oldalszáma: 60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pályamunka tartalmi része – azaz a címlap, a tartalomjegyzék, az irodalomjegyzék és a melléklet(ek) nélkül értendő – rész legalább 20, legfeljebb 40 oldal.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nem tartalmi rész terjedelme legfeljebb 20 oldal.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Kiegészítő dokumentum feltöltése: nem engedélyezett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hivatkozások formátuma feleljen meg a szakmai sztenderdeknek (pl. Harvard-rendszer).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Az irodalomjegyzékben, a táblázatokban és a mellékletekben 10-es betűtípus és 1-es sortáv is használható.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Az ábrákat és a táblázatokat számozni kell, és a szövegben ennek megfelelően kell hivatkozni rájuk.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dolgozatot anonim módon kell benyújtani. A dolgozat címlapján csak a dolgozat címe, a jelige és a dolgozat lezárásának dátuma szerepelhet. A cím és a jelige kötelező. A jelige három betűből és három számból álljon. A jelige legyen véletlenszerű. A nem anonim módon benyújtott dolgozat a versenyből kizárható.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Bármely felmerülő további kérdés, probléma esetén kérjük, forduljanak bizalommal a KTDT tagjaihoz (személyesen, telefonon, emailen)!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Pécs, 2025. szeptember 12.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KTDT nevében üdvözlettel: 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drawing>
          <wp:inline distB="0" distT="0" distL="0" distR="0">
            <wp:extent cx="1936761" cy="588849"/>
            <wp:effectExtent b="0" l="0" r="0" t="0"/>
            <wp:docPr descr="A képen kézírás, kalligráfia, Betűtípus, kézzel írott látható&#10;&#10;Automatikusan generált leírás" id="1493415829" name="image5.png"/>
            <a:graphic>
              <a:graphicData uri="http://schemas.openxmlformats.org/drawingml/2006/picture">
                <pic:pic>
                  <pic:nvPicPr>
                    <pic:cNvPr descr="A képen kézírás, kalligráfia, Betűtípus, kézzel írott látható&#10;&#10;Automatikusan generált leírás"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6761" cy="5888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40" w:firstLine="72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Dr. Pohárnok Melinda 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040" w:firstLine="72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KTDT elnök sk.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1418" w:left="1418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Courier New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  <w:ind w:left="0" w:hanging="2"/>
      <w:jc w:val="center"/>
      <w:rPr>
        <w:rFonts w:ascii="Garamond" w:cs="Garamond" w:eastAsia="Garamond" w:hAnsi="Garamond"/>
        <w:b w:val="1"/>
        <w:color w:val="000000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b w:val="1"/>
        <w:color w:val="000000"/>
        <w:sz w:val="20"/>
        <w:szCs w:val="20"/>
        <w:rtl w:val="0"/>
      </w:rPr>
      <w:t xml:space="preserve">Pécsi Tudományegyetem Bölcsészettudományi Kar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4911725</wp:posOffset>
              </wp:positionH>
              <wp:positionV relativeFrom="paragraph">
                <wp:posOffset>34925</wp:posOffset>
              </wp:positionV>
              <wp:extent cx="882015" cy="838200"/>
              <wp:wrapNone/>
              <wp:docPr id="1493415828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F11" w:rsidDel="00000000" w:rsidP="001B1CE0" w:rsidRDefault="00000000" w:rsidRPr="00000000" w14:paraId="41F938FD" w14:textId="77777777">
                          <w:pPr>
                            <w:spacing w:line="1" w:lineRule="atLeast"/>
                            <w:ind w:left="0" w:hanging="2"/>
                          </w:pPr>
                          <w:r w:rsidDel="FFFFFFFF" w:rsidR="00000000" w:rsidRPr="12349471">
                            <w:rPr>
                              <w:noProof w:val="1"/>
                              <w:szCs w:val="20"/>
                              <w:lang w:eastAsia="hu-HU"/>
                              <w:specVanish w:val="1"/>
                            </w:rPr>
                            <w:drawing>
                              <wp:inline distB="0" distT="0" distL="114300" distR="114300">
                                <wp:extent cx="760095" cy="808990"/>
                                <wp:effectExtent b="0" l="0" r="0" t="0"/>
                                <wp:docPr id="1029" name="Kép 1029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9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60095" cy="8089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52F11" w:rsidDel="00000000" w:rsidP="001B1CE0" w:rsidRDefault="00352F11" w:rsidRPr="00000000" w14:paraId="110C274B" w14:textId="77777777">
                          <w:pPr>
                            <w:spacing w:line="1" w:lineRule="atLeast"/>
                            <w:ind w:left="0" w:hanging="2"/>
                          </w:pPr>
                        </w:p>
                        <w:p w:rsidR="00352F11" w:rsidDel="00000000" w:rsidP="00000000" w:rsidRDefault="00352F11" w:rsidRPr="00000000" w14:paraId="1A4C1282" w14:textId="77777777">
                          <w:pPr>
                            <w:spacing w:line="1" w:lineRule="atLeast"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4911725</wp:posOffset>
              </wp:positionH>
              <wp:positionV relativeFrom="paragraph">
                <wp:posOffset>34925</wp:posOffset>
              </wp:positionV>
              <wp:extent cx="882015" cy="838200"/>
              <wp:effectExtent b="0" l="0" r="0" t="0"/>
              <wp:wrapNone/>
              <wp:docPr id="1493415828" name="image3.jpg"/>
              <a:graphic>
                <a:graphicData uri="http://schemas.openxmlformats.org/drawingml/2006/picture">
                  <pic:pic>
                    <pic:nvPicPr>
                      <pic:cNvPr id="0" name="image3.jp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2015" cy="838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-22222</wp:posOffset>
              </wp:positionH>
              <wp:positionV relativeFrom="paragraph">
                <wp:posOffset>34925</wp:posOffset>
              </wp:positionV>
              <wp:extent cx="882015" cy="800100"/>
              <wp:wrapNone/>
              <wp:docPr id="1493415827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F11" w:rsidDel="00000000" w:rsidP="001B1CE0" w:rsidRDefault="00000000" w:rsidRPr="00000000" w14:paraId="7C400593" w14:textId="77777777">
                          <w:pPr>
                            <w:spacing w:line="1" w:lineRule="atLeast"/>
                            <w:ind w:left="0" w:hanging="2"/>
                          </w:pPr>
                          <w:r w:rsidDel="FFFFFFFF" w:rsidR="00000000" w:rsidRPr="07698387">
                            <w:rPr>
                              <w:noProof w:val="1"/>
                              <w:lang w:eastAsia="hu-HU"/>
                              <w:specVanish w:val="1"/>
                            </w:rPr>
                            <w:drawing>
                              <wp:inline distB="0" distT="0" distL="114300" distR="114300">
                                <wp:extent cx="688975" cy="679450"/>
                                <wp:effectExtent b="0" l="0" r="0" t="0"/>
                                <wp:docPr id="1030" name="Kép 1030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3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688975" cy="679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52F11" w:rsidDel="00000000" w:rsidP="001B1CE0" w:rsidRDefault="00352F11" w:rsidRPr="00000000" w14:paraId="3F22C56C" w14:textId="77777777">
                          <w:pPr>
                            <w:spacing w:line="1" w:lineRule="atLeast"/>
                            <w:ind w:left="0" w:hanging="2"/>
                          </w:pPr>
                        </w:p>
                        <w:p w:rsidR="00352F11" w:rsidDel="00000000" w:rsidP="00000000" w:rsidRDefault="00352F11" w:rsidRPr="00000000" w14:paraId="33FCA52A" w14:textId="77777777">
                          <w:pPr>
                            <w:spacing w:line="1" w:lineRule="atLeast"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-22222</wp:posOffset>
              </wp:positionH>
              <wp:positionV relativeFrom="paragraph">
                <wp:posOffset>34925</wp:posOffset>
              </wp:positionV>
              <wp:extent cx="882015" cy="800100"/>
              <wp:effectExtent b="0" l="0" r="0" t="0"/>
              <wp:wrapNone/>
              <wp:docPr id="1493415827" name="image4.jpg"/>
              <a:graphic>
                <a:graphicData uri="http://schemas.openxmlformats.org/drawingml/2006/picture">
                  <pic:pic>
                    <pic:nvPicPr>
                      <pic:cNvPr id="0" name="image4.jp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2015" cy="800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2">
    <w:pPr>
      <w:keepNext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right" w:leader="none" w:pos="7797"/>
      </w:tabs>
      <w:spacing w:after="0" w:line="240" w:lineRule="auto"/>
      <w:ind w:left="0" w:right="281" w:hanging="2"/>
      <w:jc w:val="center"/>
      <w:rPr>
        <w:rFonts w:ascii="Times New Roman" w:cs="Times New Roman" w:eastAsia="Times New Roman" w:hAnsi="Times New Roman"/>
        <w:b w:val="1"/>
        <w:color w:val="000000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b w:val="1"/>
        <w:color w:val="000000"/>
        <w:sz w:val="20"/>
        <w:szCs w:val="20"/>
        <w:rtl w:val="0"/>
      </w:rPr>
      <w:t xml:space="preserve">Kari Tudományos Diákköri Tanács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72"/>
      </w:tabs>
      <w:spacing w:after="0" w:lineRule="auto"/>
      <w:ind w:left="0" w:hanging="2"/>
      <w:jc w:val="center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  <w:rtl w:val="0"/>
      </w:rPr>
      <w:t xml:space="preserve">7624 Pécs, Ifjúság u. 6.</w:t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ind w:left="0" w:hanging="2"/>
      <w:jc w:val="center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  <w:rtl w:val="0"/>
      </w:rPr>
      <w:t xml:space="preserve">E-mail: ktdt.btk.pte@gmail.com, https://btk.pte.hu/hu/ktdt</w:t>
    </w:r>
  </w:p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ind w:left="0" w:hanging="2"/>
      <w:jc w:val="center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ind w:left="0" w:hanging="2"/>
      <w:jc w:val="center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"/>
      </w:rPr>
    </w:rPrDefault>
    <w:pPrDefault>
      <w:pPr>
        <w:spacing w:after="200" w:line="276" w:lineRule="auto"/>
        <w:ind w:hanging="1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aszerbekezds">
    <w:name w:val="List Paragraph"/>
    <w:basedOn w:val="Norml"/>
    <w:pPr>
      <w:ind w:left="720"/>
      <w:contextualSpacing w:val="1"/>
    </w:pPr>
  </w:style>
  <w:style w:type="character" w:styleId="Hiperhivatkozs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msor2Char" w:customStyle="1">
    <w:name w:val="Címsor 2 Char"/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lfej">
    <w:name w:val="header"/>
    <w:basedOn w:val="Norml"/>
    <w:qFormat w:val="1"/>
    <w:pPr>
      <w:tabs>
        <w:tab w:val="center" w:pos="4536"/>
        <w:tab w:val="right" w:pos="9072"/>
      </w:tabs>
    </w:pPr>
  </w:style>
  <w:style w:type="character" w:styleId="lfejChar" w:customStyle="1">
    <w:name w:val="Élőfej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llb">
    <w:name w:val="footer"/>
    <w:basedOn w:val="Norml"/>
    <w:qFormat w:val="1"/>
    <w:pPr>
      <w:tabs>
        <w:tab w:val="center" w:pos="4536"/>
        <w:tab w:val="right" w:pos="9072"/>
      </w:tabs>
    </w:pPr>
  </w:style>
  <w:style w:type="character" w:styleId="llbChar" w:customStyle="1">
    <w:name w:val="Élőláb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Buborkszveg">
    <w:name w:val="Balloon Text"/>
    <w:basedOn w:val="Norml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Mrltotthiperhivatkozs">
    <w:name w:val="FollowedHyperlink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3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aMa8w7sTeXW5276WLGisGqbieg==">CgMxLjAyDmgua2xtajQ0cTlucTdhMghoLmdqZGd4czgAciExeFBLZ2phYXJ3VVhacHlsVHFqV3N3ZTBnbWNCbXJvU1k=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2023-09-11T10:59:00Z</dcterms:created>
  <dc:creator>Czeferner Dóra</dc:creator>
</cp:coreProperties>
</file>