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2301" w14:textId="58F59390" w:rsidR="00D31EA6" w:rsidRPr="00D31EA6" w:rsidRDefault="00D31EA6" w:rsidP="00D31EA6">
      <w:pPr>
        <w:jc w:val="center"/>
        <w:rPr>
          <w:rFonts w:ascii="Playfair Display Black" w:hAnsi="Playfair Display Black"/>
        </w:rPr>
      </w:pPr>
      <w:r w:rsidRPr="00D31EA6">
        <w:rPr>
          <w:rFonts w:ascii="Playfair Display Black" w:hAnsi="Playfair Display Black"/>
        </w:rPr>
        <w:t>Humánökológia szakmai gyakorlat</w:t>
      </w:r>
    </w:p>
    <w:p w14:paraId="68651223" w14:textId="77777777" w:rsidR="00D31EA6" w:rsidRDefault="00D31EA6" w:rsidP="00D31EA6">
      <w:pPr>
        <w:jc w:val="center"/>
      </w:pPr>
    </w:p>
    <w:tbl>
      <w:tblPr>
        <w:tblW w:w="8820" w:type="dxa"/>
        <w:tblInd w:w="240" w:type="dxa"/>
        <w:tblLayout w:type="fixed"/>
        <w:tblLook w:val="04A0" w:firstRow="1" w:lastRow="0" w:firstColumn="1" w:lastColumn="0" w:noHBand="0" w:noVBand="1"/>
      </w:tblPr>
      <w:tblGrid>
        <w:gridCol w:w="8820"/>
      </w:tblGrid>
      <w:tr w:rsidR="00D31EA6" w:rsidRPr="00325ECD" w14:paraId="595769E5" w14:textId="77777777" w:rsidTr="00D31EA6">
        <w:tc>
          <w:tcPr>
            <w:tcW w:w="8820" w:type="dxa"/>
            <w:tcBorders>
              <w:top w:val="single" w:sz="8" w:space="0" w:color="auto"/>
              <w:left w:val="single" w:sz="8" w:space="0" w:color="auto"/>
              <w:bottom w:val="dotted" w:sz="8" w:space="0" w:color="auto"/>
              <w:right w:val="single" w:sz="8" w:space="0" w:color="auto"/>
            </w:tcBorders>
          </w:tcPr>
          <w:p w14:paraId="60FFE80E"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A </w:t>
            </w:r>
            <w:r w:rsidRPr="00325ECD">
              <w:rPr>
                <w:rFonts w:ascii="Playfair Display" w:eastAsia="Playfair Display" w:hAnsi="Playfair Display" w:cs="Playfair Display"/>
                <w:b/>
                <w:bCs/>
              </w:rPr>
              <w:t>szakmai gyakorlat</w:t>
            </w:r>
            <w:r w:rsidRPr="00325ECD">
              <w:rPr>
                <w:rFonts w:ascii="Playfair Display" w:eastAsia="Playfair Display" w:hAnsi="Playfair Display" w:cs="Playfair Display"/>
              </w:rPr>
              <w:t xml:space="preserve"> (intézményen kívüli) (ha a KKK szerint előírt) kreditértéke: </w:t>
            </w:r>
            <w:r w:rsidRPr="00325ECD">
              <w:rPr>
                <w:rFonts w:ascii="Playfair Display" w:eastAsia="Playfair Display" w:hAnsi="Playfair Display" w:cs="Playfair Display"/>
                <w:b/>
                <w:bCs/>
              </w:rPr>
              <w:t>5 kredit</w:t>
            </w:r>
            <w:r w:rsidRPr="00325ECD">
              <w:rPr>
                <w:rFonts w:ascii="Playfair Display" w:eastAsia="Playfair Display" w:hAnsi="Playfair Display" w:cs="Playfair Display"/>
              </w:rPr>
              <w:t xml:space="preserve"> </w:t>
            </w:r>
          </w:p>
          <w:p w14:paraId="54764C3C"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időtartama teljes idejű képzésben: összesen </w:t>
            </w:r>
            <w:r w:rsidRPr="00325ECD">
              <w:rPr>
                <w:rFonts w:ascii="Playfair Display" w:eastAsia="Playfair Display" w:hAnsi="Playfair Display" w:cs="Playfair Display"/>
                <w:b/>
                <w:bCs/>
              </w:rPr>
              <w:t>80 óra</w:t>
            </w:r>
            <w:r w:rsidRPr="00325ECD">
              <w:rPr>
                <w:rFonts w:ascii="Playfair Display" w:eastAsia="Playfair Display" w:hAnsi="Playfair Display" w:cs="Playfair Display"/>
              </w:rPr>
              <w:t xml:space="preserve"> (</w:t>
            </w:r>
            <w:proofErr w:type="spellStart"/>
            <w:r w:rsidRPr="00325ECD">
              <w:rPr>
                <w:rFonts w:ascii="Playfair Display" w:eastAsia="Playfair Display" w:hAnsi="Playfair Display" w:cs="Playfair Display"/>
                <w:u w:val="single"/>
              </w:rPr>
              <w:t>tömbösen</w:t>
            </w:r>
            <w:proofErr w:type="spellEnd"/>
            <w:r>
              <w:rPr>
                <w:rFonts w:ascii="Playfair Display" w:eastAsia="Playfair Display" w:hAnsi="Playfair Display" w:cs="Playfair Display"/>
              </w:rPr>
              <w:t>)</w:t>
            </w:r>
          </w:p>
        </w:tc>
      </w:tr>
      <w:tr w:rsidR="00D31EA6" w:rsidRPr="00325ECD" w14:paraId="01B8E912" w14:textId="77777777" w:rsidTr="00D31EA6">
        <w:tc>
          <w:tcPr>
            <w:tcW w:w="8820" w:type="dxa"/>
            <w:tcBorders>
              <w:top w:val="dotted" w:sz="8" w:space="0" w:color="auto"/>
              <w:left w:val="single" w:sz="8" w:space="0" w:color="auto"/>
              <w:bottom w:val="single" w:sz="8" w:space="0" w:color="auto"/>
              <w:right w:val="single" w:sz="8" w:space="0" w:color="auto"/>
            </w:tcBorders>
          </w:tcPr>
          <w:p w14:paraId="098656B4"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jellege: </w:t>
            </w:r>
            <w:r w:rsidRPr="00325ECD">
              <w:rPr>
                <w:rFonts w:ascii="Playfair Display" w:eastAsia="Playfair Display" w:hAnsi="Playfair Display" w:cs="Playfair Display"/>
                <w:b/>
                <w:bCs/>
              </w:rPr>
              <w:t>összefüggő</w:t>
            </w:r>
            <w:r w:rsidRPr="00325ECD">
              <w:rPr>
                <w:rFonts w:ascii="Playfair Display" w:eastAsia="Playfair Display" w:hAnsi="Playfair Display" w:cs="Playfair Display"/>
              </w:rPr>
              <w:t xml:space="preserve">, tantervi helye: </w:t>
            </w:r>
            <w:r w:rsidRPr="00325ECD">
              <w:rPr>
                <w:rFonts w:ascii="Playfair Display" w:eastAsia="Playfair Display" w:hAnsi="Playfair Display" w:cs="Playfair Display"/>
                <w:b/>
                <w:bCs/>
              </w:rPr>
              <w:t>4. félév</w:t>
            </w:r>
            <w:r w:rsidRPr="00325ECD">
              <w:rPr>
                <w:rFonts w:ascii="Playfair Display" w:eastAsia="Playfair Display" w:hAnsi="Playfair Display" w:cs="Playfair Display"/>
              </w:rPr>
              <w:t xml:space="preserve"> </w:t>
            </w:r>
          </w:p>
        </w:tc>
      </w:tr>
      <w:tr w:rsidR="00D31EA6" w:rsidRPr="00325ECD" w14:paraId="7072EDCD" w14:textId="77777777" w:rsidTr="00D31EA6">
        <w:tc>
          <w:tcPr>
            <w:tcW w:w="8820" w:type="dxa"/>
            <w:tcBorders>
              <w:top w:val="single" w:sz="8" w:space="0" w:color="auto"/>
              <w:left w:val="single" w:sz="8" w:space="0" w:color="auto"/>
              <w:bottom w:val="dotted" w:sz="8" w:space="0" w:color="auto"/>
              <w:right w:val="single" w:sz="8" w:space="0" w:color="auto"/>
            </w:tcBorders>
          </w:tcPr>
          <w:p w14:paraId="2DD21B6D"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Tartalmi leírása, szakmai követelményei, szabályok </w:t>
            </w:r>
          </w:p>
        </w:tc>
      </w:tr>
      <w:tr w:rsidR="00D31EA6" w:rsidRPr="00325ECD" w14:paraId="4235D785" w14:textId="77777777" w:rsidTr="00D31EA6">
        <w:trPr>
          <w:trHeight w:val="270"/>
        </w:trPr>
        <w:tc>
          <w:tcPr>
            <w:tcW w:w="8820" w:type="dxa"/>
            <w:tcBorders>
              <w:top w:val="dotted" w:sz="8" w:space="0" w:color="auto"/>
              <w:left w:val="single" w:sz="8" w:space="0" w:color="auto"/>
              <w:bottom w:val="single" w:sz="8" w:space="0" w:color="auto"/>
              <w:right w:val="single" w:sz="8" w:space="0" w:color="auto"/>
            </w:tcBorders>
          </w:tcPr>
          <w:p w14:paraId="0419D414" w14:textId="77777777" w:rsidR="00D31EA6" w:rsidRPr="00325ECD" w:rsidRDefault="00D31EA6" w:rsidP="003D7DE4">
            <w:pPr>
              <w:spacing w:line="257"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 xml:space="preserve">A szakmai gyakorlat célja, hogy a szakos hallgatók </w:t>
            </w:r>
          </w:p>
          <w:p w14:paraId="6DE9A774" w14:textId="77777777" w:rsidR="00D31EA6" w:rsidRPr="00325ECD" w:rsidRDefault="00D31EA6" w:rsidP="00D31EA6">
            <w:pPr>
              <w:pStyle w:val="Listaszerbekezds"/>
              <w:numPr>
                <w:ilvl w:val="0"/>
                <w:numId w:val="4"/>
              </w:numPr>
              <w:spacing w:after="160" w:line="259"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tapasztalatokat nyerjenek egy, a képzéshez kapcsolódó területen, intézményben,</w:t>
            </w:r>
          </w:p>
          <w:p w14:paraId="37CA0314" w14:textId="77777777" w:rsidR="00D31EA6" w:rsidRPr="00325ECD" w:rsidRDefault="00D31EA6" w:rsidP="00D31EA6">
            <w:pPr>
              <w:pStyle w:val="Listaszerbekezds"/>
              <w:numPr>
                <w:ilvl w:val="0"/>
                <w:numId w:val="4"/>
              </w:numPr>
              <w:spacing w:after="160" w:line="259"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átlássák az adott szervezet működését és munkáját, és maguk is aktívan részt vegyenek a feladatokban,</w:t>
            </w:r>
          </w:p>
          <w:p w14:paraId="5BE4EC82" w14:textId="77777777" w:rsidR="00D31EA6" w:rsidRPr="00325ECD" w:rsidRDefault="00D31EA6" w:rsidP="00D31EA6">
            <w:pPr>
              <w:pStyle w:val="Listaszerbekezds"/>
              <w:numPr>
                <w:ilvl w:val="0"/>
                <w:numId w:val="4"/>
              </w:numPr>
              <w:spacing w:after="160" w:line="259"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 xml:space="preserve">megismerjék a gyakorló szakemberek munkáját, lássák, hogy a képzés során elsajátított elméleti tudást miként kell a gyakorlatba ültetni, </w:t>
            </w:r>
          </w:p>
          <w:p w14:paraId="785213AF" w14:textId="77777777" w:rsidR="00D31EA6" w:rsidRPr="00325ECD" w:rsidRDefault="00D31EA6" w:rsidP="00D31EA6">
            <w:pPr>
              <w:pStyle w:val="Listaszerbekezds"/>
              <w:numPr>
                <w:ilvl w:val="0"/>
                <w:numId w:val="4"/>
              </w:numPr>
              <w:spacing w:after="160" w:line="259" w:lineRule="auto"/>
              <w:rPr>
                <w:rFonts w:ascii="Playfair Display" w:eastAsia="Playfair Display" w:hAnsi="Playfair Display" w:cs="Playfair Display"/>
              </w:rPr>
            </w:pPr>
            <w:r w:rsidRPr="00325ECD">
              <w:rPr>
                <w:rFonts w:ascii="Playfair Display" w:eastAsia="Playfair Display" w:hAnsi="Playfair Display" w:cs="Playfair Display"/>
                <w:color w:val="000000" w:themeColor="text1"/>
              </w:rPr>
              <w:t xml:space="preserve">elsajátítsanak </w:t>
            </w:r>
            <w:r w:rsidRPr="00325ECD">
              <w:rPr>
                <w:rFonts w:ascii="Playfair Display" w:eastAsia="Playfair Display" w:hAnsi="Playfair Display" w:cs="Playfair Display"/>
              </w:rPr>
              <w:t xml:space="preserve">olyan szakmai megismerési és elemzési szempontokat, technikákat, amelyekkel képessé válnak feltérképezni, megérteni a különböző szakmai szervezetek munkáját, </w:t>
            </w:r>
          </w:p>
          <w:p w14:paraId="7FCA2651" w14:textId="77777777" w:rsidR="00D31EA6" w:rsidRPr="00325ECD" w:rsidRDefault="00D31EA6" w:rsidP="00D31EA6">
            <w:pPr>
              <w:pStyle w:val="Listaszerbekezds"/>
              <w:numPr>
                <w:ilvl w:val="0"/>
                <w:numId w:val="4"/>
              </w:numPr>
              <w:spacing w:after="160" w:line="259" w:lineRule="auto"/>
              <w:rPr>
                <w:rFonts w:ascii="Playfair Display" w:eastAsia="Playfair Display" w:hAnsi="Playfair Display" w:cs="Playfair Display"/>
              </w:rPr>
            </w:pPr>
            <w:r w:rsidRPr="00325ECD">
              <w:rPr>
                <w:rFonts w:ascii="Playfair Display" w:eastAsia="Playfair Display" w:hAnsi="Playfair Display" w:cs="Playfair Display"/>
              </w:rPr>
              <w:t xml:space="preserve">átlássák a szervezet szerepét az egyéb, azonos vagy hasonló területeken működő intézményekkel, az </w:t>
            </w:r>
            <w:proofErr w:type="spellStart"/>
            <w:r w:rsidRPr="00325ECD">
              <w:rPr>
                <w:rFonts w:ascii="Playfair Display" w:eastAsia="Playfair Display" w:hAnsi="Playfair Display" w:cs="Playfair Display"/>
              </w:rPr>
              <w:t>interprofesszionális</w:t>
            </w:r>
            <w:proofErr w:type="spellEnd"/>
            <w:r w:rsidRPr="00325ECD">
              <w:rPr>
                <w:rFonts w:ascii="Playfair Display" w:eastAsia="Playfair Display" w:hAnsi="Playfair Display" w:cs="Playfair Display"/>
              </w:rPr>
              <w:t xml:space="preserve"> együttműködés lehetőségeit és korlátait,</w:t>
            </w:r>
          </w:p>
          <w:p w14:paraId="092CFA79" w14:textId="77777777" w:rsidR="00D31EA6" w:rsidRPr="00325ECD" w:rsidRDefault="00D31EA6" w:rsidP="00D31EA6">
            <w:pPr>
              <w:pStyle w:val="Listaszerbekezds"/>
              <w:numPr>
                <w:ilvl w:val="0"/>
                <w:numId w:val="4"/>
              </w:numPr>
              <w:spacing w:after="160" w:line="259" w:lineRule="auto"/>
              <w:rPr>
                <w:rFonts w:ascii="Playfair Display" w:eastAsia="Playfair Display" w:hAnsi="Playfair Display" w:cs="Playfair Display"/>
              </w:rPr>
            </w:pPr>
            <w:r w:rsidRPr="00325ECD">
              <w:rPr>
                <w:rFonts w:ascii="Playfair Display" w:eastAsia="Playfair Display" w:hAnsi="Playfair Display" w:cs="Playfair Display"/>
              </w:rPr>
              <w:t xml:space="preserve">megismerjék a szakmai munka főbb módszereit, azok gyakorlati alkalmazásának lehetőségeit és nehézségeit, </w:t>
            </w:r>
          </w:p>
          <w:p w14:paraId="1D91AFFA" w14:textId="77777777" w:rsidR="00D31EA6" w:rsidRPr="00325ECD" w:rsidRDefault="00D31EA6" w:rsidP="00D31EA6">
            <w:pPr>
              <w:pStyle w:val="Listaszerbekezds"/>
              <w:numPr>
                <w:ilvl w:val="0"/>
                <w:numId w:val="4"/>
              </w:numPr>
              <w:spacing w:after="160" w:line="259" w:lineRule="auto"/>
              <w:rPr>
                <w:rFonts w:ascii="Playfair Display" w:eastAsia="Playfair Display" w:hAnsi="Playfair Display" w:cs="Playfair Display"/>
              </w:rPr>
            </w:pPr>
            <w:r w:rsidRPr="00325ECD">
              <w:rPr>
                <w:rFonts w:ascii="Playfair Display" w:eastAsia="Playfair Display" w:hAnsi="Playfair Display" w:cs="Playfair Display"/>
              </w:rPr>
              <w:t xml:space="preserve">a szervezet környezetét, illetve – adott esetben − a szolgáltatást igénybe vevőket jellemző problémákat. </w:t>
            </w:r>
          </w:p>
          <w:p w14:paraId="7918D040" w14:textId="77777777" w:rsidR="00D31EA6" w:rsidRPr="00325ECD" w:rsidRDefault="00D31EA6" w:rsidP="003D7DE4">
            <w:pPr>
              <w:spacing w:line="257" w:lineRule="auto"/>
              <w:rPr>
                <w:rFonts w:ascii="Playfair Display" w:eastAsia="Playfair Display" w:hAnsi="Playfair Display" w:cs="Playfair Display"/>
              </w:rPr>
            </w:pPr>
            <w:r w:rsidRPr="00325ECD">
              <w:rPr>
                <w:rFonts w:ascii="Playfair Display" w:eastAsia="Playfair Display" w:hAnsi="Playfair Display" w:cs="Playfair Display"/>
                <w:color w:val="000000" w:themeColor="text1"/>
              </w:rPr>
              <w:t>A szakmai gyakorlat további célja a kapcsolati tőke építése, ami segíteni fogja a hallgatók későbbi elhelyezkedését is.</w:t>
            </w:r>
            <w:r w:rsidRPr="00325ECD">
              <w:rPr>
                <w:rFonts w:ascii="Playfair Display" w:eastAsia="Playfair Display" w:hAnsi="Playfair Display" w:cs="Playfair Display"/>
              </w:rPr>
              <w:t xml:space="preserve"> </w:t>
            </w:r>
          </w:p>
          <w:p w14:paraId="47FA1D90" w14:textId="77777777" w:rsidR="00D31EA6" w:rsidRPr="00325ECD" w:rsidRDefault="00D31EA6" w:rsidP="003D7DE4">
            <w:pPr>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 xml:space="preserve"> </w:t>
            </w:r>
          </w:p>
          <w:p w14:paraId="614CEFF5" w14:textId="77777777" w:rsidR="00D31EA6" w:rsidRPr="00325ECD" w:rsidRDefault="00D31EA6" w:rsidP="003D7DE4">
            <w:pPr>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A humánökológiai képzés sajátos, interdiszciplináris mivoltának, és a humánökológiai tudás és szemlélet sokféle alkalmazási lehetőségeinek megfelelően a szakmai gyakorlat a hallgató egyéni érdeklődésének megfelelően sokféle sajátosságú helyszínen történhet. Ennek megfelelően az egyes helyszíneken adódó feladatok között is tapasztalhatóak eltérések, ám közös kompetenciák elsajátítása is zajlik.</w:t>
            </w:r>
          </w:p>
          <w:p w14:paraId="5F9E7141" w14:textId="77777777" w:rsidR="00D31EA6" w:rsidRPr="00325ECD" w:rsidRDefault="00D31EA6" w:rsidP="003D7DE4">
            <w:pPr>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A civil, államigazgatási, helyi igazgatási, önkormányzati, tudományos és civil szférában töltött gyakorlat során a hallgatók egyaránt megismerik az egyes szektorokat jellemző, környezeti kapcsolatos infrastrukturális és szervezeti keretek működését. Belelátnak és belépő szinten elsajátítják a hazai és uniós pályázati rendszerek működésének alapjait.</w:t>
            </w:r>
          </w:p>
          <w:p w14:paraId="5C6BAFFD" w14:textId="77777777" w:rsidR="00D31EA6" w:rsidRPr="00325ECD" w:rsidRDefault="00D31EA6" w:rsidP="003D7DE4">
            <w:pPr>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Emellett a gyakorlati hely sajátosságaitól függően számos egyéb feladat és</w:t>
            </w:r>
            <w:r>
              <w:rPr>
                <w:rFonts w:ascii="Playfair Display" w:eastAsia="Playfair Display" w:hAnsi="Playfair Display" w:cs="Playfair Display"/>
                <w:color w:val="000000" w:themeColor="text1"/>
              </w:rPr>
              <w:t xml:space="preserve"> ebből adódó</w:t>
            </w:r>
            <w:r w:rsidRPr="00325ECD">
              <w:rPr>
                <w:rFonts w:ascii="Playfair Display" w:eastAsia="Playfair Display" w:hAnsi="Playfair Display" w:cs="Playfair Display"/>
                <w:color w:val="000000" w:themeColor="text1"/>
              </w:rPr>
              <w:t xml:space="preserve"> kompetencia </w:t>
            </w:r>
            <w:r>
              <w:rPr>
                <w:rFonts w:ascii="Playfair Display" w:eastAsia="Playfair Display" w:hAnsi="Playfair Display" w:cs="Playfair Display"/>
                <w:color w:val="000000" w:themeColor="text1"/>
              </w:rPr>
              <w:t xml:space="preserve">elsajátítás </w:t>
            </w:r>
            <w:r w:rsidRPr="00325ECD">
              <w:rPr>
                <w:rFonts w:ascii="Playfair Display" w:eastAsia="Playfair Display" w:hAnsi="Playfair Display" w:cs="Playfair Display"/>
                <w:color w:val="000000" w:themeColor="text1"/>
              </w:rPr>
              <w:t xml:space="preserve">adódhat. A hallgatók részt vehetnek kvalitatív és kvantitatív kutatási, mérési és értékelési feladatokban egyaránt. Lásd például: kérdőívek, kérdéssorok, interjúfonalak kidolgozása, </w:t>
            </w:r>
            <w:proofErr w:type="spellStart"/>
            <w:r w:rsidRPr="00325ECD">
              <w:rPr>
                <w:rFonts w:ascii="Playfair Display" w:eastAsia="Playfair Display" w:hAnsi="Playfair Display" w:cs="Playfair Display"/>
                <w:color w:val="000000" w:themeColor="text1"/>
              </w:rPr>
              <w:t>interjúzás</w:t>
            </w:r>
            <w:proofErr w:type="spellEnd"/>
            <w:r w:rsidRPr="00325ECD">
              <w:rPr>
                <w:rFonts w:ascii="Playfair Display" w:eastAsia="Playfair Display" w:hAnsi="Playfair Display" w:cs="Playfair Display"/>
                <w:color w:val="000000" w:themeColor="text1"/>
              </w:rPr>
              <w:t xml:space="preserve"> támogatása, blogposzt szerkesztés, részvétel publikációk előkészítésében, online meeting és workshop tervezése és szervezése, online kurzusok tervezés és kidolgozása, Európai Uniós kutatási projektekben projektmenedzseri feladatok támogatása stb. Beleláthatnak és elsajátíthatják a társadalmi részvétel módszertanának alapjait, transzperszonális és csoportdinamikai tudáshoz és gyakorlathoz juthatnak. </w:t>
            </w:r>
          </w:p>
          <w:p w14:paraId="2A4B73E6" w14:textId="77777777" w:rsidR="00D31EA6" w:rsidRPr="00325ECD" w:rsidRDefault="00D31EA6" w:rsidP="003D7DE4">
            <w:pPr>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 xml:space="preserve">A választott gyakorlati hely sajátos nézőpontján keresztül növekszik társadalomismeretük és problémalátásuk. Növekszik rendszerszemléletük, valamint erősödik az eltérő nézőpontok integrálására való képességük és empátiájuk. A gyakorlat során fejlődik azon képesség is, aminek segítségével képesek a környezeti problémák társadalmi dimenziójának feltárására, társadalmi és kulturális folyamatok ökológiai szempontú elemzésére, tervezésére és szervezésére helyi és globális szinten. Növekszik érzékenységük a társadalmi és környezeti problémákra. Nyitott és elkötelezett szakemberekké válnak, akik felelősséget vállalnak szakmai döntéseikért, munkájukért. </w:t>
            </w:r>
          </w:p>
          <w:p w14:paraId="2BAA031E" w14:textId="77777777" w:rsidR="00D31EA6" w:rsidRPr="00325ECD" w:rsidRDefault="00D31EA6" w:rsidP="003D7DE4">
            <w:pPr>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 xml:space="preserve"> </w:t>
            </w:r>
          </w:p>
          <w:p w14:paraId="34465118" w14:textId="77777777" w:rsidR="00D31EA6" w:rsidRPr="00325ECD" w:rsidRDefault="00D31EA6" w:rsidP="003D7DE4">
            <w:pPr>
              <w:spacing w:line="257" w:lineRule="auto"/>
              <w:rPr>
                <w:rFonts w:ascii="Playfair Display" w:eastAsia="Playfair Display" w:hAnsi="Playfair Display" w:cs="Playfair Display"/>
              </w:rPr>
            </w:pPr>
            <w:r w:rsidRPr="00325ECD">
              <w:rPr>
                <w:rFonts w:ascii="Playfair Display" w:eastAsia="Playfair Display" w:hAnsi="Playfair Display" w:cs="Playfair Display"/>
              </w:rPr>
              <w:lastRenderedPageBreak/>
              <w:t>Az egyes szakmai gyakorlati helyek profilja (melyekkel a képző intézmény megállapodást kötött), az ott végezhető gyakorlat elemei:</w:t>
            </w:r>
          </w:p>
          <w:p w14:paraId="08A1CC3B" w14:textId="77777777" w:rsidR="00D31EA6" w:rsidRDefault="00D31EA6" w:rsidP="003D7DE4">
            <w:pPr>
              <w:spacing w:line="257" w:lineRule="auto"/>
              <w:rPr>
                <w:rFonts w:ascii="Playfair Display" w:eastAsia="Playfair Display" w:hAnsi="Playfair Display" w:cs="Playfair Display"/>
              </w:rPr>
            </w:pPr>
            <w:r w:rsidRPr="00325ECD">
              <w:rPr>
                <w:rFonts w:ascii="Playfair Display" w:eastAsia="Playfair Display" w:hAnsi="Playfair Display" w:cs="Playfair Display"/>
              </w:rPr>
              <w:t xml:space="preserve"> </w:t>
            </w:r>
          </w:p>
          <w:p w14:paraId="4224A3FD" w14:textId="77777777" w:rsidR="00D31EA6" w:rsidRPr="0021118F" w:rsidRDefault="00D31EA6" w:rsidP="003D7DE4">
            <w:pPr>
              <w:spacing w:line="257" w:lineRule="auto"/>
              <w:rPr>
                <w:rFonts w:ascii="Playfair Display" w:eastAsia="Playfair Display" w:hAnsi="Playfair Display" w:cs="Playfair Display"/>
                <w:b/>
                <w:i/>
              </w:rPr>
            </w:pPr>
            <w:r w:rsidRPr="0021118F">
              <w:rPr>
                <w:rFonts w:ascii="Playfair Display" w:eastAsia="Playfair Display" w:hAnsi="Playfair Display" w:cs="Playfair Display"/>
                <w:b/>
                <w:i/>
              </w:rPr>
              <w:t>Hétágfa Egyesület</w:t>
            </w:r>
          </w:p>
          <w:p w14:paraId="12B3EF5D" w14:textId="77777777" w:rsidR="00D31EA6" w:rsidRPr="001A1758" w:rsidRDefault="00D31EA6" w:rsidP="003D7DE4">
            <w:pPr>
              <w:spacing w:line="257" w:lineRule="auto"/>
              <w:rPr>
                <w:rFonts w:ascii="Playfair Display" w:eastAsia="Playfair Display" w:hAnsi="Playfair Display" w:cs="Playfair Display"/>
              </w:rPr>
            </w:pPr>
            <w:r w:rsidRPr="001A1758">
              <w:rPr>
                <w:rFonts w:ascii="Playfair Display" w:eastAsia="Playfair Display" w:hAnsi="Playfair Display" w:cs="Playfair Display"/>
              </w:rPr>
              <w:t>A Hétágfa Egyesület kis civil szervezetként a fenntartható fejlődést és az épített és természeti környezettel való harmonikus élet megvalósítását tűzi ki célul. Ennek elsődleges formája a fenntartható kiskerti gazdálkodás, a szemléletformáló programok szervezése és a közösségépítés, együttműködés helyi civil és önkormányzati szereplőkkel.</w:t>
            </w:r>
          </w:p>
          <w:p w14:paraId="1BF27D15" w14:textId="77777777" w:rsidR="00D31EA6" w:rsidRDefault="00D31EA6" w:rsidP="003D7DE4">
            <w:pPr>
              <w:spacing w:line="257" w:lineRule="auto"/>
              <w:rPr>
                <w:rFonts w:ascii="Playfair Display" w:eastAsia="Playfair Display" w:hAnsi="Playfair Display" w:cs="Playfair Display"/>
              </w:rPr>
            </w:pPr>
            <w:r w:rsidRPr="001A1758">
              <w:rPr>
                <w:rFonts w:ascii="Playfair Display" w:eastAsia="Playfair Display" w:hAnsi="Playfair Display" w:cs="Playfair Display"/>
              </w:rPr>
              <w:t>A hallgatók a gyakorlaton a civil szektor pályázati lehetőségeibe, pályázati menedzsmentbe, a civil érdekérvényesítés formáiba, a rendezvényszervezés és az ökologikus szemléletű gazdálkodás alapjaiba tekintenek be. A szakmai gyakorlat kiemelt figyelmet fordít a közösségépítés, a kapcsolatépítés, a társadalmi hálózatfejlesztés alapjaira. Emellett különböző projektekbe való bekapcsolódásra nyílik a hallgatóknak lehetősége, úgymint: helyi épített, természeti és kulturális értékmentés, bemutatókert gondozása, szemléletformáló rendezvények szervezése és megvalósítása, új, fenntartható tájgazdálkodási módszerek kiskerti kifejlesztése és kipróbálása.</w:t>
            </w:r>
          </w:p>
          <w:p w14:paraId="40B54E3E" w14:textId="77777777" w:rsidR="00D31EA6" w:rsidRPr="001A1758" w:rsidRDefault="00D31EA6" w:rsidP="003D7DE4">
            <w:pPr>
              <w:spacing w:line="257" w:lineRule="auto"/>
              <w:rPr>
                <w:rFonts w:ascii="Playfair Display" w:eastAsia="Playfair Display" w:hAnsi="Playfair Display" w:cs="Playfair Display"/>
              </w:rPr>
            </w:pPr>
          </w:p>
          <w:p w14:paraId="06878289" w14:textId="77777777" w:rsidR="00D31EA6" w:rsidRPr="0021118F" w:rsidRDefault="00D31EA6" w:rsidP="003D7DE4">
            <w:pPr>
              <w:spacing w:line="257" w:lineRule="auto"/>
              <w:rPr>
                <w:rFonts w:ascii="Playfair Display" w:eastAsia="Playfair Display" w:hAnsi="Playfair Display" w:cs="Playfair Display"/>
                <w:b/>
                <w:i/>
                <w:color w:val="000000" w:themeColor="text1"/>
              </w:rPr>
            </w:pPr>
            <w:proofErr w:type="spellStart"/>
            <w:r w:rsidRPr="0021118F">
              <w:rPr>
                <w:rFonts w:ascii="Playfair Display" w:eastAsia="Playfair Display" w:hAnsi="Playfair Display" w:cs="Playfair Display"/>
                <w:b/>
                <w:i/>
                <w:color w:val="000000" w:themeColor="text1"/>
              </w:rPr>
              <w:t>Kóspallagi</w:t>
            </w:r>
            <w:proofErr w:type="spellEnd"/>
            <w:r w:rsidRPr="0021118F">
              <w:rPr>
                <w:rFonts w:ascii="Playfair Display" w:eastAsia="Playfair Display" w:hAnsi="Playfair Display" w:cs="Playfair Display"/>
                <w:b/>
                <w:i/>
                <w:color w:val="000000" w:themeColor="text1"/>
              </w:rPr>
              <w:t xml:space="preserve"> Önkormányzat</w:t>
            </w:r>
          </w:p>
          <w:p w14:paraId="17A7655D" w14:textId="77777777" w:rsidR="00D31EA6" w:rsidRPr="00325ECD" w:rsidRDefault="00D31EA6" w:rsidP="003D7DE4">
            <w:pPr>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 xml:space="preserve">A </w:t>
            </w:r>
            <w:proofErr w:type="spellStart"/>
            <w:r w:rsidRPr="00325ECD">
              <w:rPr>
                <w:rFonts w:ascii="Playfair Display" w:eastAsia="Playfair Display" w:hAnsi="Playfair Display" w:cs="Playfair Display"/>
                <w:color w:val="000000" w:themeColor="text1"/>
              </w:rPr>
              <w:t>Kóspallagi</w:t>
            </w:r>
            <w:proofErr w:type="spellEnd"/>
            <w:r w:rsidRPr="00325ECD">
              <w:rPr>
                <w:rFonts w:ascii="Playfair Display" w:eastAsia="Playfair Display" w:hAnsi="Playfair Display" w:cs="Playfair Display"/>
                <w:color w:val="000000" w:themeColor="text1"/>
              </w:rPr>
              <w:t xml:space="preserve"> Önkormányzatban a hallgatók az aktuális, folyó feladatokba nyernek betekintést, emiatt változó hangsúlyokkal, de hasonló munkákban vehetnek részt. Ezek közt megtalálható a pályázatelőkészítés, a pályázati feladatok megvalósítása (kapcsolattartás vállalkozókkal, adminisztrációs tevékenységek), valamint az utólagos pályázati elszámolás, pályázatértékelés, indikátorok elemzése. Gyakoriak a kutatási feladatok, a fejlesztések hatására vonatkozó mérés. és értékelés. Emellett beleláthat a helyi civil szervezetekkel való kapcsolattartás és koordináció mikéntjére, részt vehet rendezvényszervezési feladatokban. Az önkormányzaton erős a lakossági társadalmi részvétel iránti elköteleződés, így ennek módszereiben is gyakorlatot nyerhet a hallgató. Az önkormányzattal szoros együttműködésben zajló tájgazdálkodási projektek (</w:t>
            </w:r>
            <w:proofErr w:type="spellStart"/>
            <w:r w:rsidRPr="00325ECD">
              <w:rPr>
                <w:rFonts w:ascii="Playfair Display" w:eastAsia="Playfair Display" w:hAnsi="Playfair Display" w:cs="Playfair Display"/>
                <w:color w:val="000000" w:themeColor="text1"/>
              </w:rPr>
              <w:t>biokert</w:t>
            </w:r>
            <w:proofErr w:type="spellEnd"/>
            <w:r w:rsidRPr="00325ECD">
              <w:rPr>
                <w:rFonts w:ascii="Playfair Display" w:eastAsia="Playfair Display" w:hAnsi="Playfair Display" w:cs="Playfair Display"/>
                <w:color w:val="000000" w:themeColor="text1"/>
              </w:rPr>
              <w:t>, közösségi legeltetés) megismerésével a fenntartható tájgazdálkodás módszereibe is betekintést nyerhetnek.</w:t>
            </w:r>
          </w:p>
          <w:p w14:paraId="0BE85EFB" w14:textId="77777777" w:rsidR="00D31EA6" w:rsidRPr="00325ECD" w:rsidRDefault="00D31EA6" w:rsidP="003D7DE4">
            <w:pPr>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A gyakorlat során a hallgató gyakorlati fejlesztéspolitikai ismeretekhez juthat, megismerheti felhasználói oldalról a hazai és uniós vidékfejlesztési pályázati rendszer működését, a sikeres forráslehívás módszereit. Emellett elsajátíthatja a sikeres helyi fejlesztés és forrásfelhasználás másik kulcskomponensét, a lakossági részvételt. Az ehhez kapcsolódó feladatok során erősödik a hallgató empátiája, problémaazonosító képessége, társadalmi érzékenysége, kommunikációs képességei és rendszerszemlélete.</w:t>
            </w:r>
          </w:p>
          <w:p w14:paraId="6C906D84" w14:textId="77777777" w:rsidR="00D31EA6" w:rsidRDefault="00D31EA6" w:rsidP="003D7DE4">
            <w:pPr>
              <w:spacing w:line="257" w:lineRule="auto"/>
              <w:rPr>
                <w:rFonts w:ascii="Playfair Display" w:eastAsia="Playfair Display" w:hAnsi="Playfair Display" w:cs="Playfair Display"/>
                <w:b/>
                <w:color w:val="C00000"/>
              </w:rPr>
            </w:pPr>
          </w:p>
          <w:p w14:paraId="7BC652D7" w14:textId="337BB376" w:rsidR="00D31EA6" w:rsidRPr="00F45CBD" w:rsidRDefault="00D31EA6" w:rsidP="003D7DE4">
            <w:pPr>
              <w:spacing w:line="257" w:lineRule="auto"/>
              <w:rPr>
                <w:rFonts w:ascii="Playfair Display" w:eastAsia="Playfair Display" w:hAnsi="Playfair Display" w:cs="Playfair Display"/>
                <w:bCs/>
                <w:iCs/>
              </w:rPr>
            </w:pPr>
            <w:r w:rsidRPr="0021118F">
              <w:rPr>
                <w:rFonts w:ascii="Playfair Display" w:eastAsia="Playfair Display" w:hAnsi="Playfair Display" w:cs="Playfair Display"/>
                <w:b/>
                <w:i/>
              </w:rPr>
              <w:t>Közelítő Egyesület</w:t>
            </w:r>
            <w:r w:rsidR="00F45CBD">
              <w:rPr>
                <w:rFonts w:ascii="Playfair Display" w:eastAsia="Playfair Display" w:hAnsi="Playfair Display" w:cs="Playfair Display"/>
                <w:b/>
                <w:i/>
              </w:rPr>
              <w:t xml:space="preserve"> </w:t>
            </w:r>
            <w:r w:rsidR="00F45CBD">
              <w:rPr>
                <w:rFonts w:ascii="Playfair Display" w:eastAsia="Playfair Display" w:hAnsi="Playfair Display" w:cs="Playfair Display"/>
                <w:bCs/>
                <w:iCs/>
              </w:rPr>
              <w:t>(</w:t>
            </w:r>
            <w:proofErr w:type="spellStart"/>
            <w:r w:rsidR="00F45CBD">
              <w:rPr>
                <w:rFonts w:ascii="Playfair Display" w:eastAsia="Playfair Display" w:hAnsi="Playfair Display" w:cs="Playfair Display"/>
                <w:bCs/>
                <w:iCs/>
              </w:rPr>
              <w:t>alias</w:t>
            </w:r>
            <w:proofErr w:type="spellEnd"/>
            <w:r w:rsidR="00F45CBD">
              <w:rPr>
                <w:rFonts w:ascii="Playfair Display" w:eastAsia="Playfair Display" w:hAnsi="Playfair Display" w:cs="Playfair Display"/>
                <w:bCs/>
                <w:iCs/>
              </w:rPr>
              <w:t xml:space="preserve"> Pécsi Kosár Közösség)</w:t>
            </w:r>
          </w:p>
          <w:p w14:paraId="026505E9" w14:textId="77777777" w:rsidR="00D31EA6" w:rsidRPr="0022641C" w:rsidRDefault="00D31EA6" w:rsidP="003D7DE4">
            <w:pPr>
              <w:spacing w:line="257" w:lineRule="auto"/>
              <w:rPr>
                <w:rFonts w:ascii="Playfair Display" w:eastAsia="Playfair Display" w:hAnsi="Playfair Display" w:cs="Playfair Display"/>
              </w:rPr>
            </w:pPr>
            <w:r w:rsidRPr="0022641C">
              <w:rPr>
                <w:rFonts w:ascii="Playfair Display" w:eastAsia="Playfair Display" w:hAnsi="Playfair Display" w:cs="Playfair Display"/>
              </w:rPr>
              <w:t xml:space="preserve">Az Egyesület rövid ellátási lánc szervezéssel, helyi gazdaságfejlesztéssel, fenntarthatósági folyamatok </w:t>
            </w:r>
            <w:proofErr w:type="spellStart"/>
            <w:r w:rsidRPr="0022641C">
              <w:rPr>
                <w:rFonts w:ascii="Playfair Display" w:eastAsia="Playfair Display" w:hAnsi="Playfair Display" w:cs="Playfair Display"/>
              </w:rPr>
              <w:t>facilitálásával</w:t>
            </w:r>
            <w:proofErr w:type="spellEnd"/>
            <w:r w:rsidRPr="0022641C">
              <w:rPr>
                <w:rFonts w:ascii="Playfair Display" w:eastAsia="Playfair Display" w:hAnsi="Playfair Display" w:cs="Playfair Display"/>
              </w:rPr>
              <w:t xml:space="preserve"> foglalkozik Baranya megyében.</w:t>
            </w:r>
          </w:p>
          <w:p w14:paraId="78A05C3C" w14:textId="77777777" w:rsidR="00D31EA6" w:rsidRPr="0022641C" w:rsidRDefault="00D31EA6" w:rsidP="003D7DE4">
            <w:pPr>
              <w:spacing w:line="257" w:lineRule="auto"/>
              <w:rPr>
                <w:rFonts w:ascii="Playfair Display" w:eastAsia="Playfair Display" w:hAnsi="Playfair Display" w:cs="Playfair Display"/>
              </w:rPr>
            </w:pPr>
            <w:r w:rsidRPr="0022641C">
              <w:rPr>
                <w:rFonts w:ascii="Playfair Display" w:eastAsia="Playfair Display" w:hAnsi="Playfair Display" w:cs="Playfair Display"/>
              </w:rPr>
              <w:t>A hallgatók részt vehetnek rövid ellátási lánc szervezésben az Egyesület által működtetett Pécsi Kosár Közösség keretein belül, illetve részt vehetnek a rövid ellátási lánc fejlesztésére vonatkozó egyéb projektek előkészítésében és kidolgozásában.</w:t>
            </w:r>
          </w:p>
          <w:p w14:paraId="3AFF6A87" w14:textId="77777777" w:rsidR="00D31EA6" w:rsidRPr="0022641C" w:rsidRDefault="00D31EA6" w:rsidP="003D7DE4">
            <w:pPr>
              <w:spacing w:line="257" w:lineRule="auto"/>
              <w:rPr>
                <w:rFonts w:ascii="Playfair Display" w:eastAsia="Playfair Display" w:hAnsi="Playfair Display" w:cs="Playfair Display"/>
              </w:rPr>
            </w:pPr>
            <w:r w:rsidRPr="0022641C">
              <w:rPr>
                <w:rFonts w:ascii="Playfair Display" w:eastAsia="Playfair Display" w:hAnsi="Playfair Display" w:cs="Playfair Display"/>
              </w:rPr>
              <w:t xml:space="preserve">Az Egyesület Termelői Programjának célja a helyi termelők közti együttműködések </w:t>
            </w:r>
            <w:proofErr w:type="spellStart"/>
            <w:r w:rsidRPr="0022641C">
              <w:rPr>
                <w:rFonts w:ascii="Playfair Display" w:eastAsia="Playfair Display" w:hAnsi="Playfair Display" w:cs="Playfair Display"/>
              </w:rPr>
              <w:t>facilitálása</w:t>
            </w:r>
            <w:proofErr w:type="spellEnd"/>
            <w:r w:rsidRPr="0022641C">
              <w:rPr>
                <w:rFonts w:ascii="Playfair Display" w:eastAsia="Playfair Display" w:hAnsi="Playfair Display" w:cs="Playfair Display"/>
              </w:rPr>
              <w:t>, és a termelők ökológiai gazdálkodásra való átállásának elősegítése képzések szervezésével. Ebben a folyamatban a hallgatók részt vehetnek a rendszeres termelői kapcsolattartásban, kertlátogatásokban, a termelői találkozók szervezésében és a képzések szervezésében. A hallgatók részt vehetnek továbbá az Egyesületen belül zajló közösségi működést serkentő programok fejlesztésében és működtetésében, mint például a zárt közösségi erőforrásmegosztó.</w:t>
            </w:r>
          </w:p>
          <w:p w14:paraId="73A689D7" w14:textId="77777777" w:rsidR="00D31EA6" w:rsidRPr="0021118F" w:rsidRDefault="00D31EA6" w:rsidP="003D7DE4">
            <w:pPr>
              <w:spacing w:line="257" w:lineRule="auto"/>
              <w:rPr>
                <w:rFonts w:ascii="Playfair Display" w:eastAsia="Playfair Display" w:hAnsi="Playfair Display" w:cs="Playfair Display"/>
                <w:b/>
                <w:i/>
                <w:color w:val="C00000"/>
              </w:rPr>
            </w:pPr>
          </w:p>
          <w:p w14:paraId="57030446" w14:textId="77777777" w:rsidR="00D31EA6" w:rsidRPr="0021118F" w:rsidRDefault="00D31EA6" w:rsidP="003D7DE4">
            <w:pPr>
              <w:spacing w:line="257" w:lineRule="auto"/>
              <w:rPr>
                <w:rFonts w:ascii="Playfair Display" w:eastAsia="Playfair Display" w:hAnsi="Playfair Display" w:cs="Playfair Display"/>
                <w:b/>
                <w:i/>
              </w:rPr>
            </w:pPr>
            <w:r w:rsidRPr="0021118F">
              <w:rPr>
                <w:rFonts w:ascii="Playfair Display" w:eastAsia="Playfair Display" w:hAnsi="Playfair Display" w:cs="Playfair Display"/>
                <w:b/>
                <w:i/>
              </w:rPr>
              <w:t>Magyar Permakultúra Egyesület</w:t>
            </w:r>
            <w:r>
              <w:rPr>
                <w:rFonts w:ascii="Playfair Display" w:eastAsia="Playfair Display" w:hAnsi="Playfair Display" w:cs="Playfair Display"/>
                <w:b/>
                <w:i/>
              </w:rPr>
              <w:t xml:space="preserve"> (MAPER)</w:t>
            </w:r>
          </w:p>
          <w:p w14:paraId="29C7E558" w14:textId="77777777" w:rsidR="00D31EA6" w:rsidRPr="0022641C" w:rsidRDefault="00D31EA6" w:rsidP="003D7DE4">
            <w:pPr>
              <w:spacing w:line="257" w:lineRule="auto"/>
              <w:rPr>
                <w:rFonts w:ascii="Playfair Display" w:eastAsia="Playfair Display" w:hAnsi="Playfair Display" w:cs="Playfair Display"/>
              </w:rPr>
            </w:pPr>
            <w:r w:rsidRPr="0022641C">
              <w:rPr>
                <w:rFonts w:ascii="Playfair Display" w:eastAsia="Playfair Display" w:hAnsi="Playfair Display" w:cs="Playfair Display"/>
              </w:rPr>
              <w:lastRenderedPageBreak/>
              <w:t xml:space="preserve">A MAPER szervezete egy országos civil szervezet, amely célja elsősorban a permakultúra szellemiségének képviselése és terjesztése hazánkban. Az egyesület tevékenysége szerteágazó: foglalkozunk kutatással, oktatással, tervezéssel, fordítással, környezeti neveléssel, szakmai projektekkel és gyakorlati projektekkel is. Így a szakmai gyakorlat során a hallgató az egyéni érdeklődése mentén tud bekapcsolódni az egyesület életébe. A hallgató kap egy mentort az egyesületből, aki az adott tevékenységet is koordinálja. Az egyesülethez kapcsolódó telephelyek és ligetek munkájába is van lehetőség bekapcsolódni. E helyek legtöbb esetben helyi projektekhez kapcsolódnak, amelyek összességükben egyfajta vidékfejlesztési, közösségszervezési funkcióval bírnak. A humánökológus hallgatóknak leginkább releváns feladat-lehetőségek: különböző társadalmi és ökológiai témák menti kutatások az egyesület tagjai, gyakorlati projektjei körében, részvételi akciókutatások, és civil tudományos kutatások támogatása, oktatás és kommunikáció, kapcsolattartás más civil egyesületekkel stb. Főbb tématerületek: vidékfejlesztés, civil </w:t>
            </w:r>
            <w:proofErr w:type="spellStart"/>
            <w:r w:rsidRPr="0022641C">
              <w:rPr>
                <w:rFonts w:ascii="Playfair Display" w:eastAsia="Playfair Display" w:hAnsi="Playfair Display" w:cs="Playfair Display"/>
              </w:rPr>
              <w:t>hálózatosodás</w:t>
            </w:r>
            <w:proofErr w:type="spellEnd"/>
            <w:r w:rsidRPr="0022641C">
              <w:rPr>
                <w:rFonts w:ascii="Playfair Display" w:eastAsia="Playfair Display" w:hAnsi="Playfair Display" w:cs="Playfair Display"/>
              </w:rPr>
              <w:t>, kommunikáció, projekt menedzsment-koordinálás, környezeti nevelés.</w:t>
            </w:r>
          </w:p>
          <w:p w14:paraId="74B63ABB" w14:textId="77777777" w:rsidR="00D31EA6" w:rsidRDefault="00D31EA6" w:rsidP="003D7DE4">
            <w:pPr>
              <w:spacing w:line="257" w:lineRule="auto"/>
              <w:rPr>
                <w:rFonts w:ascii="Playfair Display" w:eastAsia="Playfair Display" w:hAnsi="Playfair Display" w:cs="Playfair Display"/>
                <w:color w:val="C00000"/>
              </w:rPr>
            </w:pPr>
          </w:p>
          <w:p w14:paraId="0DF80901" w14:textId="77777777" w:rsidR="00D31EA6" w:rsidRPr="00D61BFA" w:rsidRDefault="00D31EA6" w:rsidP="003D7DE4">
            <w:pPr>
              <w:rPr>
                <w:rFonts w:ascii="Playfair Display" w:eastAsia="Playfair Display" w:hAnsi="Playfair Display" w:cs="Playfair Display"/>
                <w:b/>
                <w:i/>
                <w:color w:val="000000" w:themeColor="text1"/>
              </w:rPr>
            </w:pPr>
            <w:r w:rsidRPr="00D61BFA">
              <w:rPr>
                <w:rFonts w:ascii="Playfair Display" w:eastAsia="Playfair Display" w:hAnsi="Playfair Display" w:cs="Playfair Display"/>
                <w:b/>
                <w:i/>
                <w:color w:val="000000" w:themeColor="text1"/>
              </w:rPr>
              <w:t>Nevelők Háza Egyesület, Pécs</w:t>
            </w:r>
          </w:p>
          <w:p w14:paraId="7F7E2295" w14:textId="77777777" w:rsidR="00D31EA6" w:rsidRPr="00325ECD" w:rsidRDefault="00D31EA6" w:rsidP="003D7DE4">
            <w:pPr>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201F1E"/>
              </w:rPr>
              <w:t>A szervezet</w:t>
            </w:r>
            <w:r w:rsidRPr="00325ECD">
              <w:rPr>
                <w:rFonts w:ascii="Playfair Display" w:eastAsia="Playfair Display" w:hAnsi="Playfair Display" w:cs="Playfair Display"/>
                <w:color w:val="000000" w:themeColor="text1"/>
              </w:rPr>
              <w:t xml:space="preserve"> profilja elsősorban a településfejlesztési ügyekhez kapcsolódik, policy </w:t>
            </w:r>
            <w:proofErr w:type="spellStart"/>
            <w:r w:rsidRPr="00325ECD">
              <w:rPr>
                <w:rFonts w:ascii="Playfair Display" w:eastAsia="Playfair Display" w:hAnsi="Playfair Display" w:cs="Playfair Display"/>
                <w:color w:val="000000" w:themeColor="text1"/>
              </w:rPr>
              <w:t>making</w:t>
            </w:r>
            <w:proofErr w:type="spellEnd"/>
            <w:r w:rsidRPr="00325ECD">
              <w:rPr>
                <w:rFonts w:ascii="Playfair Display" w:eastAsia="Playfair Display" w:hAnsi="Playfair Display" w:cs="Playfair Display"/>
                <w:color w:val="000000" w:themeColor="text1"/>
              </w:rPr>
              <w:t xml:space="preserve">-ben, azaz különböző, a várost alakító folyamatok kidolgozásához, koncepciók, stratégiák tervezésében, ezek megvalósításában nyújtanak szakértői szolgáltatást. </w:t>
            </w:r>
          </w:p>
          <w:p w14:paraId="2501A950" w14:textId="77777777" w:rsidR="00D31EA6" w:rsidRPr="00325ECD" w:rsidRDefault="00D31EA6" w:rsidP="003D7DE4">
            <w:pPr>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 xml:space="preserve">Részt vesznek Pécs város Fenntartható Városfejlesztési Stratégiája elkészítésének folyamatában, amely készítése során csoportos és egyéni javaslatokat gyűjtenek be különböző módszerekkel. Az egyetemi hallgatók ezekbe a folyamatokba kapcsolódnak be, a munka során kutatásban, </w:t>
            </w:r>
            <w:proofErr w:type="spellStart"/>
            <w:r w:rsidRPr="00325ECD">
              <w:rPr>
                <w:rFonts w:ascii="Playfair Display" w:eastAsia="Playfair Display" w:hAnsi="Playfair Display" w:cs="Playfair Display"/>
                <w:color w:val="000000" w:themeColor="text1"/>
              </w:rPr>
              <w:t>kérdőívezésben</w:t>
            </w:r>
            <w:proofErr w:type="spellEnd"/>
            <w:r w:rsidRPr="00325ECD">
              <w:rPr>
                <w:rFonts w:ascii="Playfair Display" w:eastAsia="Playfair Display" w:hAnsi="Playfair Display" w:cs="Playfair Display"/>
                <w:color w:val="000000" w:themeColor="text1"/>
              </w:rPr>
              <w:t>, fórumokon, közösségi tervezésben, társadalmasításban vesznek részt. Továbbá az ő ötleteiket, javaslataikat is beépítenék a készülő anyagba.</w:t>
            </w:r>
          </w:p>
          <w:p w14:paraId="4BC92D37" w14:textId="77777777" w:rsidR="00D31EA6" w:rsidRDefault="00D31EA6" w:rsidP="003D7DE4">
            <w:pPr>
              <w:spacing w:line="257" w:lineRule="auto"/>
              <w:rPr>
                <w:rFonts w:ascii="Playfair Display" w:eastAsia="Playfair Display" w:hAnsi="Playfair Display" w:cs="Playfair Display"/>
                <w:color w:val="C00000"/>
              </w:rPr>
            </w:pPr>
          </w:p>
          <w:p w14:paraId="7FD877EF" w14:textId="77777777" w:rsidR="00D31EA6" w:rsidRPr="00D61BFA" w:rsidRDefault="00D31EA6" w:rsidP="003D7DE4">
            <w:pPr>
              <w:rPr>
                <w:rFonts w:ascii="Playfair Display" w:eastAsia="Playfair Display" w:hAnsi="Playfair Display" w:cs="Playfair Display"/>
                <w:b/>
                <w:i/>
                <w:color w:val="201F1E"/>
              </w:rPr>
            </w:pPr>
            <w:r w:rsidRPr="00D61BFA">
              <w:rPr>
                <w:rFonts w:ascii="Playfair Display" w:eastAsia="Playfair Display" w:hAnsi="Playfair Display" w:cs="Playfair Display"/>
                <w:b/>
                <w:i/>
                <w:color w:val="201F1E"/>
              </w:rPr>
              <w:t xml:space="preserve">Pécsi Közösségi Alapítvány (PKA) </w:t>
            </w:r>
          </w:p>
          <w:p w14:paraId="2E7E0DAD" w14:textId="77777777" w:rsidR="00D31EA6" w:rsidRPr="00325ECD" w:rsidRDefault="00D31EA6" w:rsidP="003D7DE4">
            <w:pPr>
              <w:rPr>
                <w:rFonts w:ascii="Playfair Display" w:eastAsia="Playfair Display" w:hAnsi="Playfair Display" w:cs="Playfair Display"/>
                <w:color w:val="201F1E"/>
              </w:rPr>
            </w:pPr>
            <w:r w:rsidRPr="00325ECD">
              <w:rPr>
                <w:rFonts w:ascii="Playfair Display" w:eastAsia="Playfair Display" w:hAnsi="Playfair Display" w:cs="Playfair Display"/>
                <w:color w:val="201F1E"/>
              </w:rPr>
              <w:t xml:space="preserve">A PKA szintén </w:t>
            </w:r>
            <w:r w:rsidRPr="00325ECD">
              <w:rPr>
                <w:rFonts w:ascii="Playfair Display" w:eastAsia="Playfair Display" w:hAnsi="Playfair Display" w:cs="Playfair Display"/>
                <w:color w:val="000000" w:themeColor="text1"/>
              </w:rPr>
              <w:t xml:space="preserve">településfejlesztési ügyekhez kapcsolódik, szakértőként vesznek részt Pécs városát alakító folyamatok kidolgozásában, stratégiák tervezésében és ezek megvalósításában. A PKA ugyanakkor </w:t>
            </w:r>
            <w:r w:rsidRPr="00325ECD">
              <w:rPr>
                <w:rFonts w:ascii="Playfair Display" w:eastAsia="Playfair Display" w:hAnsi="Playfair Display" w:cs="Playfair Display"/>
                <w:color w:val="201F1E"/>
              </w:rPr>
              <w:t xml:space="preserve">nemzetközi kitekintést is lehetővé tesz, mivel egy nagy nemzetközi szakmai hálózatnak tagja. Ez azt is jelenti, hogy a szakmai gyakorlaton részt vevő hallgató belelát a releváns nemzetközi szakmai tapasztalatokba és jó gyakorlatokba. A PKA nemzetközi projektjeinek jó részében megjelennek a fenntarthatósági prioritások. A hallgatók részt vesznek ezekben a kutatásokban, felmérésekben, fórumokon, a tervezéstől kezdve egészen a megvalósításig. </w:t>
            </w:r>
          </w:p>
          <w:p w14:paraId="34DF7772" w14:textId="77777777" w:rsidR="00D31EA6" w:rsidRDefault="00D31EA6" w:rsidP="003D7DE4">
            <w:pPr>
              <w:spacing w:line="257" w:lineRule="auto"/>
              <w:rPr>
                <w:rFonts w:ascii="Playfair Display" w:eastAsia="Playfair Display" w:hAnsi="Playfair Display" w:cs="Playfair Display"/>
                <w:color w:val="C00000"/>
              </w:rPr>
            </w:pPr>
          </w:p>
          <w:p w14:paraId="7BF622D5" w14:textId="77777777" w:rsidR="00D31EA6" w:rsidRPr="003E43CD" w:rsidRDefault="00D31EA6" w:rsidP="003D7DE4">
            <w:pPr>
              <w:spacing w:line="257" w:lineRule="auto"/>
              <w:rPr>
                <w:rFonts w:ascii="Playfair Display" w:eastAsia="Playfair Display" w:hAnsi="Playfair Display" w:cs="Playfair Display"/>
                <w:b/>
                <w:i/>
              </w:rPr>
            </w:pPr>
            <w:r w:rsidRPr="003E43CD">
              <w:rPr>
                <w:rFonts w:ascii="Playfair Display" w:eastAsia="Playfair Display" w:hAnsi="Playfair Display" w:cs="Playfair Display"/>
                <w:b/>
                <w:i/>
              </w:rPr>
              <w:t>Pécsi Zöld Kör</w:t>
            </w:r>
          </w:p>
          <w:p w14:paraId="2CA33E17" w14:textId="77777777" w:rsidR="00D31EA6" w:rsidRPr="0022641C" w:rsidRDefault="00D31EA6" w:rsidP="003D7DE4">
            <w:pPr>
              <w:spacing w:line="257" w:lineRule="auto"/>
              <w:rPr>
                <w:rFonts w:ascii="Playfair Display" w:eastAsia="Playfair Display" w:hAnsi="Playfair Display" w:cs="Playfair Display"/>
              </w:rPr>
            </w:pPr>
            <w:r w:rsidRPr="0022641C">
              <w:rPr>
                <w:rFonts w:ascii="Playfair Display" w:eastAsia="Playfair Display" w:hAnsi="Playfair Display" w:cs="Playfair Display"/>
              </w:rPr>
              <w:t>A Pécsi Zöld Kör 1990-es alapítása óta természet- és környezetvédelemmel, illetve terület- és településfejlesztéssel foglalkozik. Évek óta önkormányzati tulajdonban álló közösségi épületet is üzemeltet, melyben közművelődési feladatokat is ellát, továbbá egy helyi védett terület karbantartásában is szerepet vállal. Az egyesület országos szinten is tevékenykedik, különböző zöld civil hálózatok tagjaként, továbbá ügyfélként részt vesz konkrét hatósági eljárásokban is.</w:t>
            </w:r>
          </w:p>
          <w:p w14:paraId="0D91C3D0" w14:textId="77777777" w:rsidR="00D31EA6" w:rsidRPr="0022641C" w:rsidRDefault="00D31EA6" w:rsidP="003D7DE4">
            <w:pPr>
              <w:spacing w:line="257" w:lineRule="auto"/>
              <w:rPr>
                <w:rFonts w:ascii="Playfair Display" w:eastAsia="Playfair Display" w:hAnsi="Playfair Display" w:cs="Playfair Display"/>
              </w:rPr>
            </w:pPr>
            <w:r w:rsidRPr="0022641C">
              <w:rPr>
                <w:rFonts w:ascii="Playfair Display" w:eastAsia="Playfair Display" w:hAnsi="Playfair Display" w:cs="Playfair Display"/>
              </w:rPr>
              <w:t>A szakmai gyakorlaton a hallgatók mindezek alapján betekintést nyernek a civil szektor legszervezettebb részének tekintett zöld mozgalom működésébe, a közös állásfoglalások, petíciók és egyéb akciók szervezésébe, valamint a környezeti szempontok érvényesítésének nehézségeibe az engedélyezési eljárások során. Tapasztalatokat szereznek a fenntarthatósági szempontok érvényesítésének és érvényesülésének kritériumairól, akadályairól a beruházások és települési szintű tervezési folyamatok előkészítése és végrehajtása során, továbbá jó gyakorlatokat ismernek meg a civil szervezetek egymás közötti, illetve a zöld civil szervezetek, valamint egyéb gazdaság-társadalmi érdekcsoportok partneri együttműködésével kapcsolatban.</w:t>
            </w:r>
          </w:p>
          <w:p w14:paraId="2C11B2AB" w14:textId="77777777" w:rsidR="00D31EA6" w:rsidRPr="00325ECD" w:rsidRDefault="00D31EA6" w:rsidP="003D7DE4">
            <w:pPr>
              <w:rPr>
                <w:rFonts w:ascii="Playfair Display" w:eastAsia="Playfair Display" w:hAnsi="Playfair Display" w:cs="Playfair Display"/>
                <w:color w:val="201F1E"/>
              </w:rPr>
            </w:pPr>
          </w:p>
          <w:p w14:paraId="3E001520" w14:textId="1987737E" w:rsidR="00D31EA6" w:rsidRPr="00F45CBD" w:rsidRDefault="00D31EA6" w:rsidP="003D7DE4">
            <w:pPr>
              <w:rPr>
                <w:rFonts w:ascii="Playfair Display" w:eastAsia="Playfair Display" w:hAnsi="Playfair Display" w:cs="Playfair Display"/>
                <w:bCs/>
                <w:iCs/>
                <w:strike/>
                <w:color w:val="000000" w:themeColor="text1"/>
              </w:rPr>
            </w:pPr>
            <w:r w:rsidRPr="00F45CBD">
              <w:rPr>
                <w:rFonts w:ascii="Playfair Display" w:eastAsia="Playfair Display" w:hAnsi="Playfair Display" w:cs="Playfair Display"/>
                <w:b/>
                <w:i/>
                <w:strike/>
                <w:color w:val="000000" w:themeColor="text1"/>
              </w:rPr>
              <w:t>3. Szektor Alapítvány, Martonfa</w:t>
            </w:r>
            <w:r w:rsidR="00F45CBD">
              <w:rPr>
                <w:rFonts w:ascii="Playfair Display" w:eastAsia="Playfair Display" w:hAnsi="Playfair Display" w:cs="Playfair Display"/>
                <w:b/>
                <w:i/>
                <w:strike/>
                <w:color w:val="000000" w:themeColor="text1"/>
              </w:rPr>
              <w:t xml:space="preserve"> </w:t>
            </w:r>
            <w:r w:rsidR="00F45CBD">
              <w:rPr>
                <w:rFonts w:ascii="Playfair Display" w:eastAsia="Playfair Display" w:hAnsi="Playfair Display" w:cs="Playfair Display"/>
                <w:bCs/>
                <w:iCs/>
                <w:strike/>
                <w:color w:val="000000" w:themeColor="text1"/>
              </w:rPr>
              <w:t>ez sajnos időközben bedőlt</w:t>
            </w:r>
          </w:p>
          <w:p w14:paraId="24373FA6" w14:textId="77777777" w:rsidR="00D31EA6" w:rsidRPr="00F45CBD" w:rsidRDefault="00D31EA6" w:rsidP="003D7DE4">
            <w:pPr>
              <w:rPr>
                <w:rFonts w:ascii="Playfair Display" w:eastAsia="Playfair Display" w:hAnsi="Playfair Display" w:cs="Playfair Display"/>
                <w:strike/>
                <w:color w:val="201F1E"/>
              </w:rPr>
            </w:pPr>
            <w:r w:rsidRPr="00F45CBD">
              <w:rPr>
                <w:rFonts w:ascii="Playfair Display" w:eastAsia="Playfair Display" w:hAnsi="Playfair Display" w:cs="Playfair Display"/>
                <w:strike/>
                <w:color w:val="201F1E"/>
              </w:rPr>
              <w:lastRenderedPageBreak/>
              <w:t xml:space="preserve">A 3. Szektor Alapítvány (szoros együttműködésben a Martonfai Kereskedelmi és Start Szociális Szövetkezettel) a fenntartható vidékfejlesztés területén tevékenykedik. A szakmai gyakorlatot végző hallgatók megismerkednek a közösségi alapú gazdaságfejlesztési folyamatokkal, a közösségi felmérés módszertanával, a közösségfejlesztési és közösségépítési folyamatokkal. Részt vesznek a konkrét, aktuális projektek megtervezésében, kidolgozásában, azok </w:t>
            </w:r>
            <w:proofErr w:type="spellStart"/>
            <w:r w:rsidRPr="00F45CBD">
              <w:rPr>
                <w:rFonts w:ascii="Playfair Display" w:eastAsia="Playfair Display" w:hAnsi="Playfair Display" w:cs="Playfair Display"/>
                <w:strike/>
                <w:color w:val="201F1E"/>
              </w:rPr>
              <w:t>végigvitelében</w:t>
            </w:r>
            <w:proofErr w:type="spellEnd"/>
            <w:r w:rsidRPr="00F45CBD">
              <w:rPr>
                <w:rFonts w:ascii="Playfair Display" w:eastAsia="Playfair Display" w:hAnsi="Playfair Display" w:cs="Playfair Display"/>
                <w:strike/>
                <w:color w:val="201F1E"/>
              </w:rPr>
              <w:t xml:space="preserve">, és értékelésében, lásd: képzések szervezése, Nyitott Porta-projekt. </w:t>
            </w:r>
          </w:p>
          <w:p w14:paraId="769180AB" w14:textId="77777777" w:rsidR="00D31EA6" w:rsidRPr="00325ECD" w:rsidRDefault="00D31EA6" w:rsidP="003D7DE4">
            <w:pPr>
              <w:rPr>
                <w:rFonts w:ascii="Playfair Display" w:eastAsia="Playfair Display" w:hAnsi="Playfair Display" w:cs="Playfair Display"/>
                <w:color w:val="201F1E"/>
              </w:rPr>
            </w:pPr>
            <w:r w:rsidRPr="00325ECD">
              <w:rPr>
                <w:rFonts w:ascii="Playfair Display" w:eastAsia="Playfair Display" w:hAnsi="Playfair Display" w:cs="Playfair Display"/>
                <w:color w:val="201F1E"/>
              </w:rPr>
              <w:t xml:space="preserve"> </w:t>
            </w:r>
          </w:p>
          <w:p w14:paraId="47021742" w14:textId="77777777" w:rsidR="00D31EA6" w:rsidRPr="00325ECD" w:rsidRDefault="00D31EA6" w:rsidP="003D7DE4">
            <w:pPr>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Kompetenciák:</w:t>
            </w:r>
          </w:p>
          <w:p w14:paraId="364311A0" w14:textId="77777777" w:rsidR="00D31EA6" w:rsidRPr="00325ECD" w:rsidRDefault="00D31EA6" w:rsidP="003D7DE4">
            <w:pPr>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A gyakorlat során a KKK-ban jelzett alábbi kompetenciák erősödnek a szakmai gyakorlati helyek mindegyikén:</w:t>
            </w:r>
          </w:p>
          <w:p w14:paraId="4607E803" w14:textId="77777777" w:rsidR="00D31EA6" w:rsidRPr="00325ECD" w:rsidRDefault="00D31EA6" w:rsidP="00D31EA6">
            <w:pPr>
              <w:pStyle w:val="Listaszerbekezds"/>
              <w:numPr>
                <w:ilvl w:val="0"/>
                <w:numId w:val="3"/>
              </w:numPr>
              <w:spacing w:after="160" w:line="259"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Transzdiszciplináris szemlélet birtokában képes a társadalmi folyamatok környezeti összefüggéseik felismerésén alapuló elemzésére, tervezésére és szervezésére, különösen a közigazgatásban és a civil szervezetekben.</w:t>
            </w:r>
          </w:p>
          <w:p w14:paraId="385CA078" w14:textId="77777777" w:rsidR="00D31EA6" w:rsidRPr="00325ECD" w:rsidRDefault="00D31EA6" w:rsidP="00D31EA6">
            <w:pPr>
              <w:pStyle w:val="Listaszerbekezds"/>
              <w:numPr>
                <w:ilvl w:val="0"/>
                <w:numId w:val="3"/>
              </w:numPr>
              <w:spacing w:after="160" w:line="259"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Képes a szakmai feladatok megoldása során az önálló elemzésre, értékelésre és a különböző következtetések szintetizálására.</w:t>
            </w:r>
          </w:p>
          <w:p w14:paraId="5484EC37" w14:textId="77777777" w:rsidR="00D31EA6" w:rsidRPr="00325ECD" w:rsidRDefault="00D31EA6" w:rsidP="00D31EA6">
            <w:pPr>
              <w:pStyle w:val="Listaszerbekezds"/>
              <w:numPr>
                <w:ilvl w:val="0"/>
                <w:numId w:val="3"/>
              </w:numPr>
              <w:spacing w:after="160" w:line="259"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Érzékeny a társadalmi-környezeti problémákra, igyekszik segíteni megoldásukban, enyhítésükben.</w:t>
            </w:r>
          </w:p>
          <w:p w14:paraId="0A66E4E8" w14:textId="77777777" w:rsidR="00D31EA6" w:rsidRPr="00325ECD" w:rsidRDefault="00D31EA6" w:rsidP="00D31EA6">
            <w:pPr>
              <w:pStyle w:val="Listaszerbekezds"/>
              <w:numPr>
                <w:ilvl w:val="0"/>
                <w:numId w:val="3"/>
              </w:numPr>
              <w:spacing w:after="160" w:line="259"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Empatikus az emberek és más élőlények sorsa iránt, törekszik annak jobbítására.</w:t>
            </w:r>
          </w:p>
          <w:p w14:paraId="2868537A" w14:textId="77777777" w:rsidR="00D31EA6" w:rsidRPr="00325ECD" w:rsidRDefault="00D31EA6" w:rsidP="00D31EA6">
            <w:pPr>
              <w:pStyle w:val="Listaszerbekezds"/>
              <w:numPr>
                <w:ilvl w:val="0"/>
                <w:numId w:val="3"/>
              </w:numPr>
              <w:spacing w:after="160" w:line="259"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Nyitott és elkötelezett a szakmai együttműködésre mind hazai, mind nemzetközi szinten.</w:t>
            </w:r>
          </w:p>
          <w:p w14:paraId="455735D4" w14:textId="77777777" w:rsidR="00D31EA6" w:rsidRPr="00325ECD" w:rsidRDefault="00D31EA6" w:rsidP="00D31EA6">
            <w:pPr>
              <w:pStyle w:val="Listaszerbekezds"/>
              <w:numPr>
                <w:ilvl w:val="0"/>
                <w:numId w:val="3"/>
              </w:numPr>
              <w:spacing w:after="160" w:line="259"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Átfogó tudása mellett munkája során gyakran veszi igénybe speciális tudással rendelkező munkatársak segítségét.</w:t>
            </w:r>
          </w:p>
          <w:p w14:paraId="3DB8DCEF" w14:textId="77777777" w:rsidR="00D31EA6" w:rsidRPr="00325ECD" w:rsidRDefault="00D31EA6" w:rsidP="00D31EA6">
            <w:pPr>
              <w:pStyle w:val="Listaszerbekezds"/>
              <w:numPr>
                <w:ilvl w:val="0"/>
                <w:numId w:val="3"/>
              </w:numPr>
              <w:spacing w:after="160" w:line="259"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Önálló és felelős szerepeket vállal a szakmai szervezetek hazai és nemzetközi működésében.</w:t>
            </w:r>
          </w:p>
          <w:p w14:paraId="78008B45" w14:textId="77777777" w:rsidR="00D31EA6" w:rsidRPr="00325ECD" w:rsidRDefault="00D31EA6" w:rsidP="00D31EA6">
            <w:pPr>
              <w:pStyle w:val="Listaszerbekezds"/>
              <w:numPr>
                <w:ilvl w:val="0"/>
                <w:numId w:val="3"/>
              </w:numPr>
              <w:spacing w:after="160" w:line="259"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Felelősséget tud vállalni ökologikus vidék- és városfejlesztési stratégiák kidolgozásáért.</w:t>
            </w:r>
          </w:p>
          <w:p w14:paraId="47EBDD16" w14:textId="77777777" w:rsidR="00D31EA6" w:rsidRPr="00325ECD" w:rsidRDefault="00D31EA6" w:rsidP="003D7DE4">
            <w:pPr>
              <w:spacing w:line="257" w:lineRule="auto"/>
              <w:rPr>
                <w:rFonts w:ascii="Playfair Display" w:eastAsia="Playfair Display" w:hAnsi="Playfair Display" w:cs="Playfair Display"/>
              </w:rPr>
            </w:pPr>
            <w:r w:rsidRPr="00325ECD">
              <w:rPr>
                <w:rFonts w:ascii="Playfair Display" w:eastAsia="Playfair Display" w:hAnsi="Playfair Display" w:cs="Playfair Display"/>
              </w:rPr>
              <w:t>A kompetenciák mérése, értékelése a következőképpen valósul meg:</w:t>
            </w:r>
          </w:p>
          <w:p w14:paraId="3E8D7B1F" w14:textId="77777777" w:rsidR="00D31EA6" w:rsidRPr="0005719E" w:rsidRDefault="00D31EA6" w:rsidP="00D31EA6">
            <w:pPr>
              <w:pStyle w:val="Listaszerbekezds"/>
              <w:numPr>
                <w:ilvl w:val="0"/>
                <w:numId w:val="3"/>
              </w:numPr>
              <w:spacing w:after="160" w:line="257" w:lineRule="auto"/>
              <w:rPr>
                <w:rFonts w:ascii="Playfair Display" w:eastAsia="Playfair Display" w:hAnsi="Playfair Display" w:cs="Playfair Display"/>
                <w:color w:val="000000" w:themeColor="text1"/>
              </w:rPr>
            </w:pPr>
            <w:r w:rsidRPr="0005719E">
              <w:rPr>
                <w:rFonts w:ascii="Playfair Display" w:eastAsia="Playfair Display" w:hAnsi="Playfair Display" w:cs="Playfair Display"/>
                <w:color w:val="000000" w:themeColor="text1"/>
              </w:rPr>
              <w:t>A gyakorlat során szoros együttműködésben dolgozik a hallgató a gyakorlati hellyel, így a gyakorlati hely felelősének közvetlen rálátása lesz a hallgató teljesítményére. Ez képezi a hallgató teljesítménye értékelésének egyik elemét. </w:t>
            </w:r>
          </w:p>
          <w:p w14:paraId="54B91DD7" w14:textId="77777777" w:rsidR="00D31EA6" w:rsidRPr="0005719E" w:rsidRDefault="00D31EA6" w:rsidP="00D31EA6">
            <w:pPr>
              <w:pStyle w:val="Listaszerbekezds"/>
              <w:numPr>
                <w:ilvl w:val="0"/>
                <w:numId w:val="3"/>
              </w:numPr>
              <w:spacing w:after="160" w:line="257" w:lineRule="auto"/>
              <w:rPr>
                <w:rFonts w:ascii="Playfair Display" w:eastAsia="Playfair Display" w:hAnsi="Playfair Display" w:cs="Playfair Display"/>
                <w:color w:val="000000" w:themeColor="text1"/>
              </w:rPr>
            </w:pPr>
            <w:r w:rsidRPr="0005719E">
              <w:rPr>
                <w:rFonts w:ascii="Playfair Display" w:eastAsia="Playfair Display" w:hAnsi="Playfair Display" w:cs="Playfair Display"/>
                <w:color w:val="000000" w:themeColor="text1"/>
              </w:rPr>
              <w:t xml:space="preserve">Az értékelés során – kiegészítő eszközként − használjuk a PRISMA, a </w:t>
            </w:r>
            <w:proofErr w:type="gramStart"/>
            <w:r w:rsidRPr="0005719E">
              <w:rPr>
                <w:rFonts w:ascii="Playfair Display" w:eastAsia="Playfair Display" w:hAnsi="Playfair Display" w:cs="Playfair Display"/>
                <w:color w:val="000000" w:themeColor="text1"/>
              </w:rPr>
              <w:t>COREQ</w:t>
            </w:r>
            <w:proofErr w:type="gramEnd"/>
            <w:r w:rsidRPr="0005719E">
              <w:rPr>
                <w:rFonts w:ascii="Playfair Display" w:eastAsia="Playfair Display" w:hAnsi="Playfair Display" w:cs="Playfair Display"/>
                <w:color w:val="000000" w:themeColor="text1"/>
              </w:rPr>
              <w:t xml:space="preserve"> illetve a NEP (New </w:t>
            </w:r>
            <w:proofErr w:type="spellStart"/>
            <w:r w:rsidRPr="0005719E">
              <w:rPr>
                <w:rFonts w:ascii="Playfair Display" w:eastAsia="Playfair Display" w:hAnsi="Playfair Display" w:cs="Playfair Display"/>
                <w:color w:val="000000" w:themeColor="text1"/>
              </w:rPr>
              <w:t>Ecological</w:t>
            </w:r>
            <w:proofErr w:type="spellEnd"/>
            <w:r w:rsidRPr="0005719E">
              <w:rPr>
                <w:rFonts w:ascii="Playfair Display" w:eastAsia="Playfair Display" w:hAnsi="Playfair Display" w:cs="Playfair Display"/>
                <w:color w:val="000000" w:themeColor="text1"/>
              </w:rPr>
              <w:t xml:space="preserve"> </w:t>
            </w:r>
            <w:proofErr w:type="spellStart"/>
            <w:r w:rsidRPr="0005719E">
              <w:rPr>
                <w:rFonts w:ascii="Playfair Display" w:eastAsia="Playfair Display" w:hAnsi="Playfair Display" w:cs="Playfair Display"/>
                <w:color w:val="000000" w:themeColor="text1"/>
              </w:rPr>
              <w:t>Paradigm</w:t>
            </w:r>
            <w:proofErr w:type="spellEnd"/>
            <w:r w:rsidRPr="0005719E">
              <w:rPr>
                <w:rFonts w:ascii="Playfair Display" w:eastAsia="Playfair Display" w:hAnsi="Playfair Display" w:cs="Playfair Display"/>
                <w:color w:val="000000" w:themeColor="text1"/>
              </w:rPr>
              <w:t xml:space="preserve">) </w:t>
            </w:r>
            <w:proofErr w:type="spellStart"/>
            <w:r w:rsidRPr="0005719E">
              <w:rPr>
                <w:rFonts w:ascii="Playfair Display" w:eastAsia="Playfair Display" w:hAnsi="Playfair Display" w:cs="Playfair Display"/>
                <w:color w:val="000000" w:themeColor="text1"/>
              </w:rPr>
              <w:t>Scale</w:t>
            </w:r>
            <w:proofErr w:type="spellEnd"/>
            <w:r w:rsidRPr="0005719E">
              <w:rPr>
                <w:rFonts w:ascii="Playfair Display" w:eastAsia="Playfair Display" w:hAnsi="Playfair Display" w:cs="Playfair Display"/>
                <w:color w:val="000000" w:themeColor="text1"/>
              </w:rPr>
              <w:t xml:space="preserve"> és ASD (</w:t>
            </w:r>
            <w:proofErr w:type="spellStart"/>
            <w:r w:rsidRPr="0005719E">
              <w:rPr>
                <w:rFonts w:ascii="Playfair Display" w:eastAsia="Playfair Display" w:hAnsi="Playfair Display" w:cs="Playfair Display"/>
                <w:color w:val="000000" w:themeColor="text1"/>
              </w:rPr>
              <w:t>Attitudes</w:t>
            </w:r>
            <w:proofErr w:type="spellEnd"/>
            <w:r w:rsidRPr="0005719E">
              <w:rPr>
                <w:rFonts w:ascii="Playfair Display" w:eastAsia="Playfair Display" w:hAnsi="Playfair Display" w:cs="Playfair Display"/>
                <w:color w:val="000000" w:themeColor="text1"/>
              </w:rPr>
              <w:t xml:space="preserve"> </w:t>
            </w:r>
            <w:proofErr w:type="spellStart"/>
            <w:r w:rsidRPr="0005719E">
              <w:rPr>
                <w:rFonts w:ascii="Playfair Display" w:eastAsia="Playfair Display" w:hAnsi="Playfair Display" w:cs="Playfair Display"/>
                <w:color w:val="000000" w:themeColor="text1"/>
              </w:rPr>
              <w:t>toward</w:t>
            </w:r>
            <w:proofErr w:type="spellEnd"/>
            <w:r w:rsidRPr="0005719E">
              <w:rPr>
                <w:rFonts w:ascii="Playfair Display" w:eastAsia="Playfair Display" w:hAnsi="Playfair Display" w:cs="Playfair Display"/>
                <w:color w:val="000000" w:themeColor="text1"/>
              </w:rPr>
              <w:t xml:space="preserve"> </w:t>
            </w:r>
            <w:proofErr w:type="spellStart"/>
            <w:r w:rsidRPr="0005719E">
              <w:rPr>
                <w:rFonts w:ascii="Playfair Display" w:eastAsia="Playfair Display" w:hAnsi="Playfair Display" w:cs="Playfair Display"/>
                <w:color w:val="000000" w:themeColor="text1"/>
              </w:rPr>
              <w:t>Sustainable</w:t>
            </w:r>
            <w:proofErr w:type="spellEnd"/>
            <w:r w:rsidRPr="0005719E">
              <w:rPr>
                <w:rFonts w:ascii="Playfair Display" w:eastAsia="Playfair Display" w:hAnsi="Playfair Display" w:cs="Playfair Display"/>
                <w:color w:val="000000" w:themeColor="text1"/>
              </w:rPr>
              <w:t xml:space="preserve"> </w:t>
            </w:r>
            <w:proofErr w:type="spellStart"/>
            <w:r w:rsidRPr="0005719E">
              <w:rPr>
                <w:rFonts w:ascii="Playfair Display" w:eastAsia="Playfair Display" w:hAnsi="Playfair Display" w:cs="Playfair Display"/>
                <w:color w:val="000000" w:themeColor="text1"/>
              </w:rPr>
              <w:t>Development</w:t>
            </w:r>
            <w:proofErr w:type="spellEnd"/>
            <w:r w:rsidRPr="0005719E">
              <w:rPr>
                <w:rFonts w:ascii="Playfair Display" w:eastAsia="Playfair Display" w:hAnsi="Playfair Display" w:cs="Playfair Display"/>
                <w:color w:val="000000" w:themeColor="text1"/>
              </w:rPr>
              <w:t xml:space="preserve">) </w:t>
            </w:r>
            <w:proofErr w:type="spellStart"/>
            <w:r w:rsidRPr="0005719E">
              <w:rPr>
                <w:rFonts w:ascii="Playfair Display" w:eastAsia="Playfair Display" w:hAnsi="Playfair Display" w:cs="Playfair Display"/>
                <w:color w:val="000000" w:themeColor="text1"/>
              </w:rPr>
              <w:t>Scale</w:t>
            </w:r>
            <w:proofErr w:type="spellEnd"/>
            <w:r w:rsidRPr="0005719E">
              <w:rPr>
                <w:rFonts w:ascii="Playfair Display" w:eastAsia="Playfair Display" w:hAnsi="Playfair Display" w:cs="Playfair Display"/>
                <w:color w:val="000000" w:themeColor="text1"/>
              </w:rPr>
              <w:t xml:space="preserve"> értékelő rendszereket is, amelyek segítenek a hatások szisztematikus értékelő áttekintésében.  </w:t>
            </w:r>
          </w:p>
          <w:p w14:paraId="5CBAA92E" w14:textId="77777777" w:rsidR="00D31EA6" w:rsidRPr="00325ECD" w:rsidRDefault="00D31EA6" w:rsidP="003D7DE4">
            <w:pPr>
              <w:spacing w:line="257"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rPr>
              <w:t xml:space="preserve"> </w:t>
            </w:r>
            <w:r w:rsidRPr="00325ECD">
              <w:rPr>
                <w:rFonts w:ascii="Playfair Display" w:eastAsia="Playfair Display" w:hAnsi="Playfair Display" w:cs="Playfair Display"/>
                <w:color w:val="000000" w:themeColor="text1"/>
              </w:rPr>
              <w:t xml:space="preserve">A szakmai gyakorlatot a hallgatók </w:t>
            </w:r>
            <w:proofErr w:type="spellStart"/>
            <w:r w:rsidRPr="00325ECD">
              <w:rPr>
                <w:rFonts w:ascii="Playfair Display" w:eastAsia="Playfair Display" w:hAnsi="Playfair Display" w:cs="Playfair Display"/>
                <w:color w:val="000000" w:themeColor="text1"/>
              </w:rPr>
              <w:t>tömbösítve</w:t>
            </w:r>
            <w:proofErr w:type="spellEnd"/>
            <w:r w:rsidRPr="00325ECD">
              <w:rPr>
                <w:rFonts w:ascii="Playfair Display" w:eastAsia="Playfair Display" w:hAnsi="Playfair Display" w:cs="Playfair Display"/>
                <w:color w:val="000000" w:themeColor="text1"/>
              </w:rPr>
              <w:t xml:space="preserve"> végzik el, ideje a 4. félév első vagy utolsó két hete.</w:t>
            </w:r>
          </w:p>
          <w:p w14:paraId="7FF92F03" w14:textId="77777777" w:rsidR="00D31EA6" w:rsidRPr="00325ECD" w:rsidRDefault="00D31EA6" w:rsidP="003D7DE4">
            <w:pPr>
              <w:ind w:left="283" w:hanging="283"/>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 xml:space="preserve"> </w:t>
            </w:r>
          </w:p>
          <w:p w14:paraId="158D761C"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A hallgatók a gyakorlat helyszínét önállóan választhatják meg, de a gyakorlat megkezdéséhez a gyakorlóhely és a szakmai gyakorlatért felelős oktató jóváhagyása szükséges. A terephely kiválasztásában a hallgatók igénybe vehetik a tantárgyfelelős segítségét. </w:t>
            </w:r>
          </w:p>
          <w:p w14:paraId="6EF8D8ED"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A szakmai gyakorlat tantárgyfelelőse felelősséggel tartozik a hallgató gyakorlati munkája során történő tanulásért, annak irányításáért és az egyetemi tanulmányokkal való koordinálásért. Folyamatos kontaktusban van a szakmai gyakorlati hellyel, és annak segítségével is követi a hallgató munkáját.</w:t>
            </w:r>
          </w:p>
          <w:p w14:paraId="5BA6E43F" w14:textId="77777777" w:rsidR="00D31EA6" w:rsidRPr="00325ECD" w:rsidRDefault="00D31EA6" w:rsidP="003D7DE4">
            <w:pPr>
              <w:ind w:left="283" w:hanging="283"/>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A szakmai gyakorlóhely felelőse</w:t>
            </w:r>
          </w:p>
          <w:p w14:paraId="2C8F314F" w14:textId="77777777" w:rsidR="00D31EA6" w:rsidRPr="00325ECD" w:rsidRDefault="00D31EA6" w:rsidP="00D31EA6">
            <w:pPr>
              <w:pStyle w:val="Listaszerbekezds"/>
              <w:numPr>
                <w:ilvl w:val="0"/>
                <w:numId w:val="2"/>
              </w:numPr>
              <w:spacing w:after="160" w:line="259"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 xml:space="preserve">elfogadja a humánökológia képzés szakmai gyakorlatra vonatkozó követelményrendszerét; </w:t>
            </w:r>
          </w:p>
          <w:p w14:paraId="0C63772C" w14:textId="77777777" w:rsidR="00D31EA6" w:rsidRPr="00325ECD" w:rsidRDefault="00D31EA6" w:rsidP="00D31EA6">
            <w:pPr>
              <w:pStyle w:val="Listaszerbekezds"/>
              <w:numPr>
                <w:ilvl w:val="0"/>
                <w:numId w:val="2"/>
              </w:numPr>
              <w:spacing w:after="160" w:line="259" w:lineRule="auto"/>
              <w:rPr>
                <w:rFonts w:ascii="Playfair Display" w:eastAsia="Playfair Display" w:hAnsi="Playfair Display" w:cs="Playfair Display"/>
                <w:color w:val="000000" w:themeColor="text1"/>
              </w:rPr>
            </w:pPr>
            <w:r w:rsidRPr="00325ECD">
              <w:rPr>
                <w:rFonts w:ascii="Playfair Display" w:eastAsia="Playfair Display" w:hAnsi="Playfair Display" w:cs="Playfair Display"/>
                <w:color w:val="000000" w:themeColor="text1"/>
              </w:rPr>
              <w:t xml:space="preserve">vállalja a gyakornok munkafeltételeinek megteremtését, annak levezetését, segítését, figyelemmel kísérését, elemzését és értékelését, biztosítja a hallgató számára a konzultációs lehetőséget; </w:t>
            </w:r>
          </w:p>
          <w:p w14:paraId="5EDF93CC" w14:textId="77777777" w:rsidR="00D31EA6" w:rsidRPr="00325ECD" w:rsidRDefault="00D31EA6" w:rsidP="00D31EA6">
            <w:pPr>
              <w:pStyle w:val="Listaszerbekezds"/>
              <w:numPr>
                <w:ilvl w:val="0"/>
                <w:numId w:val="2"/>
              </w:numPr>
              <w:spacing w:after="160" w:line="259" w:lineRule="auto"/>
              <w:rPr>
                <w:rFonts w:ascii="Playfair Display" w:eastAsia="Playfair Display" w:hAnsi="Playfair Display" w:cs="Playfair Display"/>
              </w:rPr>
            </w:pPr>
            <w:r w:rsidRPr="00325ECD">
              <w:rPr>
                <w:rFonts w:ascii="Playfair Display" w:eastAsia="Playfair Display" w:hAnsi="Playfair Display" w:cs="Playfair Display"/>
                <w:color w:val="000000" w:themeColor="text1"/>
              </w:rPr>
              <w:t xml:space="preserve">rendszeres kapcsolatot tart és konzultál a szakmai gyakorlatért felelős oktatóval. </w:t>
            </w:r>
          </w:p>
        </w:tc>
      </w:tr>
      <w:tr w:rsidR="00D31EA6" w:rsidRPr="00325ECD" w14:paraId="77E8CFFF" w14:textId="77777777" w:rsidTr="00D31EA6">
        <w:trPr>
          <w:trHeight w:val="270"/>
        </w:trPr>
        <w:tc>
          <w:tcPr>
            <w:tcW w:w="8820" w:type="dxa"/>
            <w:tcBorders>
              <w:top w:val="single" w:sz="8" w:space="0" w:color="auto"/>
              <w:left w:val="single" w:sz="8" w:space="0" w:color="auto"/>
              <w:bottom w:val="dotted" w:sz="8" w:space="0" w:color="auto"/>
              <w:right w:val="single" w:sz="8" w:space="0" w:color="auto"/>
            </w:tcBorders>
          </w:tcPr>
          <w:p w14:paraId="2699DE10"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lastRenderedPageBreak/>
              <w:t xml:space="preserve">A szakmai gyakorlaton nyújtott hallgatói teljesítmény értékelési módszerei: </w:t>
            </w:r>
          </w:p>
        </w:tc>
      </w:tr>
      <w:tr w:rsidR="00D31EA6" w:rsidRPr="00325ECD" w14:paraId="124F3857" w14:textId="77777777" w:rsidTr="00D31EA6">
        <w:trPr>
          <w:trHeight w:val="270"/>
        </w:trPr>
        <w:tc>
          <w:tcPr>
            <w:tcW w:w="8820" w:type="dxa"/>
            <w:tcBorders>
              <w:top w:val="dotted" w:sz="8" w:space="0" w:color="auto"/>
              <w:left w:val="single" w:sz="8" w:space="0" w:color="auto"/>
              <w:bottom w:val="single" w:sz="8" w:space="0" w:color="auto"/>
              <w:right w:val="single" w:sz="8" w:space="0" w:color="auto"/>
            </w:tcBorders>
          </w:tcPr>
          <w:p w14:paraId="39804EB7"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Az értékelést a szakmai gyakorlatot biztosító szervezet és az intézményi felelős közösen végzi el. A hallgatók maguk is lehetőséget kapnak arra, hogy értékeljék saját munkájukat.  </w:t>
            </w:r>
          </w:p>
          <w:p w14:paraId="0A589DAC"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Az értékelés szempontjai: </w:t>
            </w:r>
          </w:p>
          <w:p w14:paraId="04A58523"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A kötelező óraszám teljesítése. </w:t>
            </w:r>
          </w:p>
          <w:p w14:paraId="5CF1454A"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Az értékelés alapját képezi a hallgatók:</w:t>
            </w:r>
          </w:p>
          <w:p w14:paraId="2EFBFCDA"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együttműködési készsége</w:t>
            </w:r>
          </w:p>
          <w:p w14:paraId="1420104A"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hatékonysága</w:t>
            </w:r>
          </w:p>
          <w:p w14:paraId="2D1D993C"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szakmai fejlődése</w:t>
            </w:r>
          </w:p>
          <w:p w14:paraId="638C6F08"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az elvégzett feladatok minősége</w:t>
            </w:r>
          </w:p>
          <w:p w14:paraId="1D8C76C0"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írásos beszámoló (min. 20</w:t>
            </w:r>
            <w:r>
              <w:rPr>
                <w:rFonts w:ascii="Playfair Display" w:eastAsia="Playfair Display" w:hAnsi="Playfair Display" w:cs="Playfair Display"/>
              </w:rPr>
              <w:t>.000</w:t>
            </w:r>
            <w:r w:rsidRPr="00325ECD">
              <w:rPr>
                <w:rFonts w:ascii="Playfair Display" w:eastAsia="Playfair Display" w:hAnsi="Playfair Display" w:cs="Playfair Display"/>
              </w:rPr>
              <w:t xml:space="preserve"> leütés): A hallgató a gyakorlat során munkanaplót vezet, </w:t>
            </w:r>
            <w:r w:rsidRPr="00325ECD">
              <w:rPr>
                <w:rFonts w:ascii="Playfair Display" w:eastAsia="Playfair Display" w:hAnsi="Playfair Display" w:cs="Playfair Display"/>
                <w:color w:val="000000" w:themeColor="text1"/>
              </w:rPr>
              <w:t>amelyben feltünteti napi tevékenységét.</w:t>
            </w:r>
            <w:r w:rsidRPr="00325ECD">
              <w:rPr>
                <w:rFonts w:ascii="Playfair Display" w:eastAsia="Playfair Display" w:hAnsi="Playfair Display" w:cs="Playfair Display"/>
              </w:rPr>
              <w:t xml:space="preserve"> A gyakorlat végén írásos beszámolót készít munkájáról, amely tartalmazza a következőket: a szakmai szervezet bemutatása, milyen projektekben vett részt, milyen feladatokat végzett el, milyen társadalmi csoportokkal, közösségekkel került kapcsolatba gyakorlata során, a projekt, amiben részt vett, milyen eredményeket tudott elérni. Összegzi tapasztalatait, benyomásait. Értékeli saját munkáját. </w:t>
            </w:r>
          </w:p>
          <w:p w14:paraId="30B46C5B"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Az értékelés módja: </w:t>
            </w:r>
          </w:p>
          <w:p w14:paraId="14ADB946" w14:textId="77777777" w:rsidR="00D31EA6" w:rsidRPr="00325ECD" w:rsidRDefault="00D31EA6" w:rsidP="00D31EA6">
            <w:pPr>
              <w:pStyle w:val="Listaszerbekezds"/>
              <w:numPr>
                <w:ilvl w:val="0"/>
                <w:numId w:val="1"/>
              </w:numPr>
              <w:spacing w:after="160" w:line="259" w:lineRule="auto"/>
              <w:rPr>
                <w:rFonts w:ascii="Playfair Display" w:eastAsia="Playfair Display" w:hAnsi="Playfair Display" w:cs="Playfair Display"/>
              </w:rPr>
            </w:pPr>
            <w:r w:rsidRPr="00325ECD">
              <w:rPr>
                <w:rFonts w:ascii="Playfair Display" w:eastAsia="Playfair Display" w:hAnsi="Playfair Display" w:cs="Playfair Display"/>
              </w:rPr>
              <w:t>A gyakorlatot biztosító intézmény gyakorlatvezetője írásban értékeli a hallgató munkáját a fenti kritériumok mentén (együttműködési készsége, hatékonysága, szakmai fejlődése, az elvégzett feladatok minősége, írásos beszámoló).</w:t>
            </w:r>
          </w:p>
          <w:p w14:paraId="67A98094" w14:textId="77777777" w:rsidR="00D31EA6" w:rsidRPr="00325ECD" w:rsidRDefault="00D31EA6" w:rsidP="00D31EA6">
            <w:pPr>
              <w:pStyle w:val="Listaszerbekezds"/>
              <w:numPr>
                <w:ilvl w:val="0"/>
                <w:numId w:val="1"/>
              </w:numPr>
              <w:spacing w:after="160" w:line="259" w:lineRule="auto"/>
              <w:rPr>
                <w:rFonts w:ascii="Playfair Display" w:eastAsia="Playfair Display" w:hAnsi="Playfair Display" w:cs="Playfair Display"/>
              </w:rPr>
            </w:pPr>
            <w:r w:rsidRPr="00325ECD">
              <w:rPr>
                <w:rFonts w:ascii="Playfair Display" w:eastAsia="Playfair Display" w:hAnsi="Playfair Display" w:cs="Playfair Display"/>
              </w:rPr>
              <w:t xml:space="preserve">A szakmai gyakorlat egyetemi felelőse összeveti a hallgató és a gyakorlatvezető beszámolóját, és ha anomáliát talál, egyeztet a gyakorlat vezetőjével és a hallgatóval egyaránt. </w:t>
            </w:r>
          </w:p>
          <w:p w14:paraId="6CB698E9" w14:textId="77777777" w:rsidR="00D31EA6" w:rsidRPr="00325ECD" w:rsidRDefault="00D31EA6" w:rsidP="00D31EA6">
            <w:pPr>
              <w:pStyle w:val="Listaszerbekezds"/>
              <w:numPr>
                <w:ilvl w:val="0"/>
                <w:numId w:val="1"/>
              </w:numPr>
              <w:spacing w:after="160" w:line="259" w:lineRule="auto"/>
              <w:rPr>
                <w:rFonts w:ascii="Playfair Display" w:eastAsia="Playfair Display" w:hAnsi="Playfair Display" w:cs="Playfair Display"/>
              </w:rPr>
            </w:pPr>
            <w:r w:rsidRPr="00325ECD">
              <w:rPr>
                <w:rFonts w:ascii="Playfair Display" w:eastAsia="Playfair Display" w:hAnsi="Playfair Display" w:cs="Playfair Display"/>
              </w:rPr>
              <w:t xml:space="preserve">Szükség esetén közösen (hallgató, gyakorlóhely, egyetemi felelős) is megbeszélik és értékelik a hallgató munkáját és tapasztalatait. </w:t>
            </w:r>
          </w:p>
          <w:p w14:paraId="3415191B" w14:textId="77777777" w:rsidR="00D31EA6" w:rsidRPr="00325ECD" w:rsidRDefault="00D31EA6" w:rsidP="00D31EA6">
            <w:pPr>
              <w:pStyle w:val="Listaszerbekezds"/>
              <w:numPr>
                <w:ilvl w:val="0"/>
                <w:numId w:val="1"/>
              </w:numPr>
              <w:spacing w:after="160" w:line="259" w:lineRule="auto"/>
              <w:rPr>
                <w:rFonts w:ascii="Playfair Display" w:eastAsia="Playfair Display" w:hAnsi="Playfair Display" w:cs="Playfair Display"/>
                <w:color w:val="201F1E"/>
              </w:rPr>
            </w:pPr>
            <w:r w:rsidRPr="00325ECD">
              <w:rPr>
                <w:rFonts w:ascii="Playfair Display" w:eastAsia="Playfair Display" w:hAnsi="Playfair Display" w:cs="Playfair Display"/>
                <w:color w:val="201F1E"/>
              </w:rPr>
              <w:t xml:space="preserve">Az értékelés során alkalmazásra kerül a diagnosztikus, fejlesztő-formatív és összegző, </w:t>
            </w:r>
            <w:proofErr w:type="spellStart"/>
            <w:r w:rsidRPr="00325ECD">
              <w:rPr>
                <w:rFonts w:ascii="Playfair Display" w:eastAsia="Playfair Display" w:hAnsi="Playfair Display" w:cs="Playfair Display"/>
                <w:color w:val="201F1E"/>
              </w:rPr>
              <w:t>szummatív</w:t>
            </w:r>
            <w:proofErr w:type="spellEnd"/>
            <w:r w:rsidRPr="00325ECD">
              <w:rPr>
                <w:rFonts w:ascii="Playfair Display" w:eastAsia="Playfair Display" w:hAnsi="Playfair Display" w:cs="Playfair Display"/>
                <w:color w:val="201F1E"/>
              </w:rPr>
              <w:t xml:space="preserve"> értékelési metódus. Azaz: Diagnosztikus értékelés: a hallgatók előzetes tudásának és tapasztalatainak felmérése, valamint céljainak, motivációinak megismerése. Fejlesztő, formatív értékelés: a tanulási folyamat közbeni segítség, a hallgató számára visszajelzés biztosítása az elért sikerekről, a hibákról, nehézségekről, amelyek lehetővé teszik a tanulási folyamat közbeni korrekciót, önkorrekciót. Összegző, </w:t>
            </w:r>
            <w:proofErr w:type="spellStart"/>
            <w:r w:rsidRPr="00325ECD">
              <w:rPr>
                <w:rFonts w:ascii="Playfair Display" w:eastAsia="Playfair Display" w:hAnsi="Playfair Display" w:cs="Playfair Display"/>
                <w:color w:val="201F1E"/>
              </w:rPr>
              <w:t>szummatív</w:t>
            </w:r>
            <w:proofErr w:type="spellEnd"/>
            <w:r w:rsidRPr="00325ECD">
              <w:rPr>
                <w:rFonts w:ascii="Playfair Display" w:eastAsia="Playfair Display" w:hAnsi="Playfair Display" w:cs="Playfair Display"/>
                <w:color w:val="201F1E"/>
              </w:rPr>
              <w:t xml:space="preserve"> értékelés: a tanulási folyamat végére megszerzett tanulási eredmények átfogó, minősítő értékelése.  </w:t>
            </w:r>
          </w:p>
          <w:p w14:paraId="28710165"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Az értékelés érdemjeggyel történik (1-5), a szakmai gyakorlatvezető és az egyetemi felelős értékelésének átlaga adja a végső érdemjegyet.</w:t>
            </w:r>
          </w:p>
        </w:tc>
      </w:tr>
      <w:tr w:rsidR="00D31EA6" w:rsidRPr="00325ECD" w14:paraId="6BDA0317" w14:textId="77777777" w:rsidTr="00D31EA6">
        <w:tc>
          <w:tcPr>
            <w:tcW w:w="8820" w:type="dxa"/>
            <w:tcBorders>
              <w:top w:val="single" w:sz="8" w:space="0" w:color="auto"/>
              <w:left w:val="single" w:sz="8" w:space="0" w:color="auto"/>
              <w:bottom w:val="dotted" w:sz="8" w:space="0" w:color="auto"/>
              <w:right w:val="single" w:sz="8" w:space="0" w:color="auto"/>
            </w:tcBorders>
          </w:tcPr>
          <w:p w14:paraId="04312160"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A szakmai gyakorlóhely(</w:t>
            </w:r>
            <w:proofErr w:type="spellStart"/>
            <w:r w:rsidRPr="00325ECD">
              <w:rPr>
                <w:rFonts w:ascii="Playfair Display" w:eastAsia="Playfair Display" w:hAnsi="Playfair Display" w:cs="Playfair Display"/>
              </w:rPr>
              <w:t>ek</w:t>
            </w:r>
            <w:proofErr w:type="spellEnd"/>
            <w:r w:rsidRPr="00325ECD">
              <w:rPr>
                <w:rFonts w:ascii="Playfair Display" w:eastAsia="Playfair Display" w:hAnsi="Playfair Display" w:cs="Playfair Display"/>
              </w:rPr>
              <w:t xml:space="preserve">), melyekkel a képző intézmény megállapodást kötött: </w:t>
            </w:r>
          </w:p>
        </w:tc>
      </w:tr>
      <w:tr w:rsidR="00D31EA6" w:rsidRPr="00325ECD" w14:paraId="1EA709AE" w14:textId="77777777" w:rsidTr="00D31EA6">
        <w:trPr>
          <w:trHeight w:val="270"/>
        </w:trPr>
        <w:tc>
          <w:tcPr>
            <w:tcW w:w="8820" w:type="dxa"/>
            <w:tcBorders>
              <w:top w:val="dotted" w:sz="8" w:space="0" w:color="auto"/>
              <w:left w:val="single" w:sz="8" w:space="0" w:color="auto"/>
              <w:bottom w:val="single" w:sz="8" w:space="0" w:color="auto"/>
              <w:right w:val="single" w:sz="8" w:space="0" w:color="auto"/>
            </w:tcBorders>
          </w:tcPr>
          <w:p w14:paraId="25B5716F" w14:textId="77777777" w:rsidR="00D31EA6" w:rsidRPr="0024361F" w:rsidRDefault="00D31EA6" w:rsidP="003D7DE4">
            <w:pPr>
              <w:rPr>
                <w:rFonts w:ascii="Playfair Display" w:eastAsia="Playfair Display" w:hAnsi="Playfair Display" w:cs="Playfair Display"/>
              </w:rPr>
            </w:pPr>
            <w:r w:rsidRPr="0024361F">
              <w:rPr>
                <w:rFonts w:ascii="Playfair Display" w:eastAsia="Playfair Display" w:hAnsi="Playfair Display" w:cs="Playfair Display"/>
              </w:rPr>
              <w:t>Hétágfa Egyesület</w:t>
            </w:r>
          </w:p>
          <w:p w14:paraId="3CCD6E57" w14:textId="77777777" w:rsidR="00D31EA6" w:rsidRPr="0024361F" w:rsidRDefault="00D31EA6" w:rsidP="003D7DE4">
            <w:pPr>
              <w:rPr>
                <w:rFonts w:ascii="Playfair Display" w:eastAsia="Playfair Display" w:hAnsi="Playfair Display" w:cs="Playfair Display"/>
              </w:rPr>
            </w:pPr>
            <w:proofErr w:type="spellStart"/>
            <w:r w:rsidRPr="0024361F">
              <w:rPr>
                <w:rFonts w:ascii="Playfair Display" w:eastAsia="Playfair Display" w:hAnsi="Playfair Display" w:cs="Playfair Display"/>
              </w:rPr>
              <w:t>Kóspallagi</w:t>
            </w:r>
            <w:proofErr w:type="spellEnd"/>
            <w:r w:rsidRPr="0024361F">
              <w:rPr>
                <w:rFonts w:ascii="Playfair Display" w:eastAsia="Playfair Display" w:hAnsi="Playfair Display" w:cs="Playfair Display"/>
              </w:rPr>
              <w:t xml:space="preserve"> önkormányzat; </w:t>
            </w:r>
          </w:p>
          <w:p w14:paraId="300ED03B" w14:textId="77777777" w:rsidR="00D31EA6" w:rsidRPr="0024361F" w:rsidRDefault="00D31EA6" w:rsidP="003D7DE4">
            <w:pPr>
              <w:rPr>
                <w:rFonts w:ascii="Playfair Display" w:eastAsia="Playfair Display" w:hAnsi="Playfair Display" w:cs="Playfair Display"/>
              </w:rPr>
            </w:pPr>
            <w:r w:rsidRPr="0024361F">
              <w:rPr>
                <w:rFonts w:ascii="Playfair Display" w:eastAsia="Playfair Display" w:hAnsi="Playfair Display" w:cs="Playfair Display"/>
              </w:rPr>
              <w:t>Közelítő Egyesület</w:t>
            </w:r>
          </w:p>
          <w:p w14:paraId="43572BFE" w14:textId="77777777" w:rsidR="00D31EA6" w:rsidRPr="0024361F" w:rsidRDefault="00D31EA6" w:rsidP="003D7DE4">
            <w:pPr>
              <w:rPr>
                <w:rFonts w:ascii="Playfair Display" w:eastAsia="Playfair Display" w:hAnsi="Playfair Display" w:cs="Playfair Display"/>
              </w:rPr>
            </w:pPr>
            <w:r w:rsidRPr="0024361F">
              <w:rPr>
                <w:rFonts w:ascii="Playfair Display" w:eastAsia="Playfair Display" w:hAnsi="Playfair Display" w:cs="Playfair Display"/>
              </w:rPr>
              <w:t>Magyar Permakultúra Egyesület</w:t>
            </w:r>
          </w:p>
          <w:p w14:paraId="023F90D6" w14:textId="77777777" w:rsidR="00D31EA6" w:rsidRDefault="00D31EA6" w:rsidP="003D7DE4">
            <w:pPr>
              <w:rPr>
                <w:rFonts w:ascii="Playfair Display" w:eastAsia="Playfair Display" w:hAnsi="Playfair Display" w:cs="Playfair Display"/>
              </w:rPr>
            </w:pPr>
            <w:r w:rsidRPr="0024361F">
              <w:rPr>
                <w:rFonts w:ascii="Playfair Display" w:eastAsia="Playfair Display" w:hAnsi="Playfair Display" w:cs="Playfair Display"/>
              </w:rPr>
              <w:t>Nevelők Háza Egyesület;</w:t>
            </w:r>
          </w:p>
          <w:p w14:paraId="5BA401E3" w14:textId="77777777" w:rsidR="00D31EA6" w:rsidRPr="0024361F" w:rsidRDefault="00D31EA6" w:rsidP="003D7DE4">
            <w:pPr>
              <w:rPr>
                <w:rFonts w:ascii="Playfair Display" w:eastAsia="Playfair Display" w:hAnsi="Playfair Display" w:cs="Playfair Display"/>
              </w:rPr>
            </w:pPr>
            <w:r w:rsidRPr="0024361F">
              <w:rPr>
                <w:rFonts w:ascii="Playfair Display" w:eastAsia="Playfair Display" w:hAnsi="Playfair Display" w:cs="Playfair Display"/>
              </w:rPr>
              <w:t>Pécsi Közösségi Alapítvány;</w:t>
            </w:r>
          </w:p>
          <w:p w14:paraId="3DE93862" w14:textId="77777777" w:rsidR="00D31EA6" w:rsidRDefault="00D31EA6" w:rsidP="003D7DE4">
            <w:pPr>
              <w:rPr>
                <w:rFonts w:ascii="Playfair Display" w:eastAsia="Playfair Display" w:hAnsi="Playfair Display" w:cs="Playfair Display"/>
              </w:rPr>
            </w:pPr>
            <w:r w:rsidRPr="0024361F">
              <w:rPr>
                <w:rFonts w:ascii="Playfair Display" w:eastAsia="Playfair Display" w:hAnsi="Playfair Display" w:cs="Playfair Display"/>
              </w:rPr>
              <w:t>Pécsi Zöld Kör</w:t>
            </w:r>
          </w:p>
          <w:p w14:paraId="3724ED0E"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3. Szektor Alapítvány;  </w:t>
            </w:r>
          </w:p>
        </w:tc>
      </w:tr>
      <w:tr w:rsidR="00D31EA6" w:rsidRPr="00325ECD" w14:paraId="555D7A3C" w14:textId="77777777" w:rsidTr="00D31EA6">
        <w:trPr>
          <w:trHeight w:val="270"/>
        </w:trPr>
        <w:tc>
          <w:tcPr>
            <w:tcW w:w="8820" w:type="dxa"/>
            <w:tcBorders>
              <w:top w:val="single" w:sz="8" w:space="0" w:color="auto"/>
              <w:left w:val="single" w:sz="8" w:space="0" w:color="auto"/>
              <w:bottom w:val="dotted" w:sz="8" w:space="0" w:color="auto"/>
              <w:right w:val="single" w:sz="8" w:space="0" w:color="auto"/>
            </w:tcBorders>
          </w:tcPr>
          <w:p w14:paraId="092B18A7"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A szakmai gyakorlat szervezettsége, „külső” gyakorlatvezetők biztosítása, ellenőrzése: </w:t>
            </w:r>
          </w:p>
        </w:tc>
      </w:tr>
      <w:tr w:rsidR="00D31EA6" w:rsidRPr="00325ECD" w14:paraId="27F79EBF" w14:textId="77777777" w:rsidTr="00D31EA6">
        <w:trPr>
          <w:trHeight w:val="210"/>
        </w:trPr>
        <w:tc>
          <w:tcPr>
            <w:tcW w:w="8820" w:type="dxa"/>
            <w:tcBorders>
              <w:top w:val="dotted" w:sz="8" w:space="0" w:color="auto"/>
              <w:left w:val="single" w:sz="8" w:space="0" w:color="auto"/>
              <w:bottom w:val="single" w:sz="8" w:space="0" w:color="auto"/>
              <w:right w:val="single" w:sz="8" w:space="0" w:color="auto"/>
            </w:tcBorders>
          </w:tcPr>
          <w:p w14:paraId="7E273925" w14:textId="77777777" w:rsidR="00D31EA6"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A szakmai gyakorlatot helyszínét a hallgatók az intézményi felelőssel közösen választják ki. </w:t>
            </w:r>
          </w:p>
          <w:p w14:paraId="41C8291E" w14:textId="77777777" w:rsidR="00D31EA6"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A felelős minden esetben előzetesen egyeztet a választott szervezet vezetőivel, megbeszélik a szakmai gyakorlat részleteit, azt, hogy a szervezeten belül ki lesz a hallgató munkájának vezetője. </w:t>
            </w:r>
          </w:p>
          <w:p w14:paraId="36DE344C" w14:textId="77777777" w:rsidR="00D31EA6"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t xml:space="preserve">Folyamatosan konzultál a szervezettel és a hallgatóval is. </w:t>
            </w:r>
          </w:p>
          <w:p w14:paraId="05891DA2" w14:textId="77777777" w:rsidR="00D31EA6"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lastRenderedPageBreak/>
              <w:t xml:space="preserve">Felügyeli, hogy a szakmai gyakorlat (mindkét fél számára) hasznosan és a kritériumoknak megfelelően teljen. </w:t>
            </w:r>
          </w:p>
          <w:p w14:paraId="7842710B" w14:textId="77777777" w:rsidR="00D31EA6" w:rsidRPr="00325ECD" w:rsidRDefault="00D31EA6" w:rsidP="003D7DE4">
            <w:pPr>
              <w:rPr>
                <w:rFonts w:ascii="Playfair Display" w:eastAsia="Playfair Display" w:hAnsi="Playfair Display" w:cs="Playfair Display"/>
                <w:color w:val="201F1E"/>
              </w:rPr>
            </w:pPr>
            <w:r w:rsidRPr="00325ECD">
              <w:rPr>
                <w:rFonts w:ascii="Playfair Display" w:eastAsia="Playfair Display" w:hAnsi="Playfair Display" w:cs="Playfair Display"/>
              </w:rPr>
              <w:t>Alkalmazza a f</w:t>
            </w:r>
            <w:r w:rsidRPr="00325ECD">
              <w:rPr>
                <w:rFonts w:ascii="Playfair Display" w:eastAsia="Playfair Display" w:hAnsi="Playfair Display" w:cs="Playfair Display"/>
                <w:color w:val="201F1E"/>
              </w:rPr>
              <w:t>ejlesztő, formatív értékelés metódusát, azaz a szakmai gyakorlat közben segítségi a hallgatót, biztosítja számára a visszajelzés lehetőségét az elért sikerekről, a hibákról, nehézségekről, amelyek lehetővé teszik a gyakorlat alatti korrekciót, önkorrekciót.</w:t>
            </w:r>
          </w:p>
        </w:tc>
      </w:tr>
      <w:tr w:rsidR="00D31EA6" w:rsidRPr="00325ECD" w14:paraId="2F98BA82" w14:textId="77777777" w:rsidTr="00D31EA6">
        <w:trPr>
          <w:trHeight w:val="15"/>
        </w:trPr>
        <w:tc>
          <w:tcPr>
            <w:tcW w:w="8820" w:type="dxa"/>
            <w:tcBorders>
              <w:top w:val="single" w:sz="8" w:space="0" w:color="auto"/>
              <w:left w:val="single" w:sz="8" w:space="0" w:color="auto"/>
              <w:bottom w:val="single" w:sz="8" w:space="0" w:color="auto"/>
              <w:right w:val="single" w:sz="8" w:space="0" w:color="auto"/>
            </w:tcBorders>
          </w:tcPr>
          <w:p w14:paraId="6191C0A7" w14:textId="77777777" w:rsidR="00D31EA6" w:rsidRPr="00325ECD" w:rsidRDefault="00D31EA6" w:rsidP="003D7DE4">
            <w:pPr>
              <w:rPr>
                <w:rFonts w:ascii="Playfair Display" w:eastAsia="Playfair Display" w:hAnsi="Playfair Display" w:cs="Playfair Display"/>
              </w:rPr>
            </w:pPr>
            <w:r w:rsidRPr="00325ECD">
              <w:rPr>
                <w:rFonts w:ascii="Playfair Display" w:eastAsia="Playfair Display" w:hAnsi="Playfair Display" w:cs="Playfair Display"/>
              </w:rPr>
              <w:lastRenderedPageBreak/>
              <w:t xml:space="preserve">Intézményi felelős (név, beosztás): </w:t>
            </w:r>
            <w:r w:rsidRPr="00325ECD">
              <w:rPr>
                <w:rFonts w:ascii="Playfair Display" w:eastAsia="Playfair Display" w:hAnsi="Playfair Display" w:cs="Playfair Display"/>
                <w:b/>
                <w:bCs/>
              </w:rPr>
              <w:t xml:space="preserve">Dr. Farkas Judit egyetemi docens PhD, </w:t>
            </w:r>
            <w:proofErr w:type="spellStart"/>
            <w:r w:rsidRPr="00325ECD">
              <w:rPr>
                <w:rFonts w:ascii="Playfair Display" w:eastAsia="Playfair Display" w:hAnsi="Playfair Display" w:cs="Playfair Display"/>
                <w:b/>
                <w:bCs/>
              </w:rPr>
              <w:t>habil</w:t>
            </w:r>
            <w:proofErr w:type="spellEnd"/>
            <w:r w:rsidRPr="00325ECD">
              <w:rPr>
                <w:rFonts w:ascii="Playfair Display" w:eastAsia="Playfair Display" w:hAnsi="Playfair Display" w:cs="Playfair Display"/>
              </w:rPr>
              <w:t xml:space="preserve"> </w:t>
            </w:r>
          </w:p>
        </w:tc>
      </w:tr>
    </w:tbl>
    <w:p w14:paraId="1137E007" w14:textId="77777777" w:rsidR="00BF3192" w:rsidRDefault="00BF3192"/>
    <w:sectPr w:rsidR="00BF31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Times New Roman&quot;,serif">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yfair Display Black">
    <w:charset w:val="EE"/>
    <w:family w:val="auto"/>
    <w:pitch w:val="variable"/>
    <w:sig w:usb0="20000207" w:usb1="00000000" w:usb2="00000000" w:usb3="00000000" w:csb0="00000197" w:csb1="00000000"/>
  </w:font>
  <w:font w:name="Playfair Display">
    <w:charset w:val="EE"/>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42FF6"/>
    <w:multiLevelType w:val="hybridMultilevel"/>
    <w:tmpl w:val="731C63A8"/>
    <w:lvl w:ilvl="0" w:tplc="ACE2FFA4">
      <w:start w:val="1"/>
      <w:numFmt w:val="bullet"/>
      <w:lvlText w:val="-"/>
      <w:lvlJc w:val="left"/>
      <w:pPr>
        <w:ind w:left="720" w:hanging="360"/>
      </w:pPr>
      <w:rPr>
        <w:rFonts w:ascii="&quot;Times New Roman&quot;,serif" w:hAnsi="&quot;Times New Roman&quot;,serif" w:hint="default"/>
      </w:rPr>
    </w:lvl>
    <w:lvl w:ilvl="1" w:tplc="DEDEA2EC">
      <w:start w:val="1"/>
      <w:numFmt w:val="bullet"/>
      <w:lvlText w:val="o"/>
      <w:lvlJc w:val="left"/>
      <w:pPr>
        <w:ind w:left="1440" w:hanging="360"/>
      </w:pPr>
      <w:rPr>
        <w:rFonts w:ascii="Courier New" w:hAnsi="Courier New" w:hint="default"/>
      </w:rPr>
    </w:lvl>
    <w:lvl w:ilvl="2" w:tplc="DA2697EA">
      <w:start w:val="1"/>
      <w:numFmt w:val="bullet"/>
      <w:lvlText w:val=""/>
      <w:lvlJc w:val="left"/>
      <w:pPr>
        <w:ind w:left="2160" w:hanging="360"/>
      </w:pPr>
      <w:rPr>
        <w:rFonts w:ascii="Wingdings" w:hAnsi="Wingdings" w:hint="default"/>
      </w:rPr>
    </w:lvl>
    <w:lvl w:ilvl="3" w:tplc="74E4E87A">
      <w:start w:val="1"/>
      <w:numFmt w:val="bullet"/>
      <w:lvlText w:val=""/>
      <w:lvlJc w:val="left"/>
      <w:pPr>
        <w:ind w:left="2880" w:hanging="360"/>
      </w:pPr>
      <w:rPr>
        <w:rFonts w:ascii="Symbol" w:hAnsi="Symbol" w:hint="default"/>
      </w:rPr>
    </w:lvl>
    <w:lvl w:ilvl="4" w:tplc="4AEA590E">
      <w:start w:val="1"/>
      <w:numFmt w:val="bullet"/>
      <w:lvlText w:val="o"/>
      <w:lvlJc w:val="left"/>
      <w:pPr>
        <w:ind w:left="3600" w:hanging="360"/>
      </w:pPr>
      <w:rPr>
        <w:rFonts w:ascii="Courier New" w:hAnsi="Courier New" w:hint="default"/>
      </w:rPr>
    </w:lvl>
    <w:lvl w:ilvl="5" w:tplc="FADEBE42">
      <w:start w:val="1"/>
      <w:numFmt w:val="bullet"/>
      <w:lvlText w:val=""/>
      <w:lvlJc w:val="left"/>
      <w:pPr>
        <w:ind w:left="4320" w:hanging="360"/>
      </w:pPr>
      <w:rPr>
        <w:rFonts w:ascii="Wingdings" w:hAnsi="Wingdings" w:hint="default"/>
      </w:rPr>
    </w:lvl>
    <w:lvl w:ilvl="6" w:tplc="6E0C3B72">
      <w:start w:val="1"/>
      <w:numFmt w:val="bullet"/>
      <w:lvlText w:val=""/>
      <w:lvlJc w:val="left"/>
      <w:pPr>
        <w:ind w:left="5040" w:hanging="360"/>
      </w:pPr>
      <w:rPr>
        <w:rFonts w:ascii="Symbol" w:hAnsi="Symbol" w:hint="default"/>
      </w:rPr>
    </w:lvl>
    <w:lvl w:ilvl="7" w:tplc="147A1176">
      <w:start w:val="1"/>
      <w:numFmt w:val="bullet"/>
      <w:lvlText w:val="o"/>
      <w:lvlJc w:val="left"/>
      <w:pPr>
        <w:ind w:left="5760" w:hanging="360"/>
      </w:pPr>
      <w:rPr>
        <w:rFonts w:ascii="Courier New" w:hAnsi="Courier New" w:hint="default"/>
      </w:rPr>
    </w:lvl>
    <w:lvl w:ilvl="8" w:tplc="250ECCC0">
      <w:start w:val="1"/>
      <w:numFmt w:val="bullet"/>
      <w:lvlText w:val=""/>
      <w:lvlJc w:val="left"/>
      <w:pPr>
        <w:ind w:left="6480" w:hanging="360"/>
      </w:pPr>
      <w:rPr>
        <w:rFonts w:ascii="Wingdings" w:hAnsi="Wingdings" w:hint="default"/>
      </w:rPr>
    </w:lvl>
  </w:abstractNum>
  <w:abstractNum w:abstractNumId="1" w15:restartNumberingAfterBreak="0">
    <w:nsid w:val="4E0A11C8"/>
    <w:multiLevelType w:val="hybridMultilevel"/>
    <w:tmpl w:val="A0543446"/>
    <w:lvl w:ilvl="0" w:tplc="D018DC58">
      <w:start w:val="1"/>
      <w:numFmt w:val="bullet"/>
      <w:lvlText w:val="-"/>
      <w:lvlJc w:val="left"/>
      <w:pPr>
        <w:ind w:left="720" w:hanging="360"/>
      </w:pPr>
      <w:rPr>
        <w:rFonts w:ascii="Symbol" w:hAnsi="Symbol" w:hint="default"/>
      </w:rPr>
    </w:lvl>
    <w:lvl w:ilvl="1" w:tplc="DEAE762C">
      <w:start w:val="1"/>
      <w:numFmt w:val="bullet"/>
      <w:lvlText w:val="o"/>
      <w:lvlJc w:val="left"/>
      <w:pPr>
        <w:ind w:left="1440" w:hanging="360"/>
      </w:pPr>
      <w:rPr>
        <w:rFonts w:ascii="Courier New" w:hAnsi="Courier New" w:hint="default"/>
      </w:rPr>
    </w:lvl>
    <w:lvl w:ilvl="2" w:tplc="01AEAAA4">
      <w:start w:val="1"/>
      <w:numFmt w:val="bullet"/>
      <w:lvlText w:val=""/>
      <w:lvlJc w:val="left"/>
      <w:pPr>
        <w:ind w:left="2160" w:hanging="360"/>
      </w:pPr>
      <w:rPr>
        <w:rFonts w:ascii="Wingdings" w:hAnsi="Wingdings" w:hint="default"/>
      </w:rPr>
    </w:lvl>
    <w:lvl w:ilvl="3" w:tplc="FF9227CC">
      <w:start w:val="1"/>
      <w:numFmt w:val="bullet"/>
      <w:lvlText w:val=""/>
      <w:lvlJc w:val="left"/>
      <w:pPr>
        <w:ind w:left="2880" w:hanging="360"/>
      </w:pPr>
      <w:rPr>
        <w:rFonts w:ascii="Symbol" w:hAnsi="Symbol" w:hint="default"/>
      </w:rPr>
    </w:lvl>
    <w:lvl w:ilvl="4" w:tplc="1B96C374">
      <w:start w:val="1"/>
      <w:numFmt w:val="bullet"/>
      <w:lvlText w:val="o"/>
      <w:lvlJc w:val="left"/>
      <w:pPr>
        <w:ind w:left="3600" w:hanging="360"/>
      </w:pPr>
      <w:rPr>
        <w:rFonts w:ascii="Courier New" w:hAnsi="Courier New" w:hint="default"/>
      </w:rPr>
    </w:lvl>
    <w:lvl w:ilvl="5" w:tplc="B3B4A5EA">
      <w:start w:val="1"/>
      <w:numFmt w:val="bullet"/>
      <w:lvlText w:val=""/>
      <w:lvlJc w:val="left"/>
      <w:pPr>
        <w:ind w:left="4320" w:hanging="360"/>
      </w:pPr>
      <w:rPr>
        <w:rFonts w:ascii="Wingdings" w:hAnsi="Wingdings" w:hint="default"/>
      </w:rPr>
    </w:lvl>
    <w:lvl w:ilvl="6" w:tplc="6E86A9C4">
      <w:start w:val="1"/>
      <w:numFmt w:val="bullet"/>
      <w:lvlText w:val=""/>
      <w:lvlJc w:val="left"/>
      <w:pPr>
        <w:ind w:left="5040" w:hanging="360"/>
      </w:pPr>
      <w:rPr>
        <w:rFonts w:ascii="Symbol" w:hAnsi="Symbol" w:hint="default"/>
      </w:rPr>
    </w:lvl>
    <w:lvl w:ilvl="7" w:tplc="42B47126">
      <w:start w:val="1"/>
      <w:numFmt w:val="bullet"/>
      <w:lvlText w:val="o"/>
      <w:lvlJc w:val="left"/>
      <w:pPr>
        <w:ind w:left="5760" w:hanging="360"/>
      </w:pPr>
      <w:rPr>
        <w:rFonts w:ascii="Courier New" w:hAnsi="Courier New" w:hint="default"/>
      </w:rPr>
    </w:lvl>
    <w:lvl w:ilvl="8" w:tplc="512421CC">
      <w:start w:val="1"/>
      <w:numFmt w:val="bullet"/>
      <w:lvlText w:val=""/>
      <w:lvlJc w:val="left"/>
      <w:pPr>
        <w:ind w:left="6480" w:hanging="360"/>
      </w:pPr>
      <w:rPr>
        <w:rFonts w:ascii="Wingdings" w:hAnsi="Wingdings" w:hint="default"/>
      </w:rPr>
    </w:lvl>
  </w:abstractNum>
  <w:abstractNum w:abstractNumId="2" w15:restartNumberingAfterBreak="0">
    <w:nsid w:val="5DA30861"/>
    <w:multiLevelType w:val="hybridMultilevel"/>
    <w:tmpl w:val="42261A46"/>
    <w:lvl w:ilvl="0" w:tplc="518CBFD2">
      <w:start w:val="1"/>
      <w:numFmt w:val="bullet"/>
      <w:lvlText w:val="-"/>
      <w:lvlJc w:val="left"/>
      <w:pPr>
        <w:ind w:left="720" w:hanging="360"/>
      </w:pPr>
      <w:rPr>
        <w:rFonts w:ascii="&quot;Times New Roman&quot;,serif" w:hAnsi="&quot;Times New Roman&quot;,serif" w:hint="default"/>
      </w:rPr>
    </w:lvl>
    <w:lvl w:ilvl="1" w:tplc="8BA24A86">
      <w:start w:val="1"/>
      <w:numFmt w:val="bullet"/>
      <w:lvlText w:val="o"/>
      <w:lvlJc w:val="left"/>
      <w:pPr>
        <w:ind w:left="1440" w:hanging="360"/>
      </w:pPr>
      <w:rPr>
        <w:rFonts w:ascii="Courier New" w:hAnsi="Courier New" w:hint="default"/>
      </w:rPr>
    </w:lvl>
    <w:lvl w:ilvl="2" w:tplc="75664E5A">
      <w:start w:val="1"/>
      <w:numFmt w:val="bullet"/>
      <w:lvlText w:val=""/>
      <w:lvlJc w:val="left"/>
      <w:pPr>
        <w:ind w:left="2160" w:hanging="360"/>
      </w:pPr>
      <w:rPr>
        <w:rFonts w:ascii="Wingdings" w:hAnsi="Wingdings" w:hint="default"/>
      </w:rPr>
    </w:lvl>
    <w:lvl w:ilvl="3" w:tplc="66F2DEEA">
      <w:start w:val="1"/>
      <w:numFmt w:val="bullet"/>
      <w:lvlText w:val=""/>
      <w:lvlJc w:val="left"/>
      <w:pPr>
        <w:ind w:left="2880" w:hanging="360"/>
      </w:pPr>
      <w:rPr>
        <w:rFonts w:ascii="Symbol" w:hAnsi="Symbol" w:hint="default"/>
      </w:rPr>
    </w:lvl>
    <w:lvl w:ilvl="4" w:tplc="351A8C4A">
      <w:start w:val="1"/>
      <w:numFmt w:val="bullet"/>
      <w:lvlText w:val="o"/>
      <w:lvlJc w:val="left"/>
      <w:pPr>
        <w:ind w:left="3600" w:hanging="360"/>
      </w:pPr>
      <w:rPr>
        <w:rFonts w:ascii="Courier New" w:hAnsi="Courier New" w:hint="default"/>
      </w:rPr>
    </w:lvl>
    <w:lvl w:ilvl="5" w:tplc="9B767F2A">
      <w:start w:val="1"/>
      <w:numFmt w:val="bullet"/>
      <w:lvlText w:val=""/>
      <w:lvlJc w:val="left"/>
      <w:pPr>
        <w:ind w:left="4320" w:hanging="360"/>
      </w:pPr>
      <w:rPr>
        <w:rFonts w:ascii="Wingdings" w:hAnsi="Wingdings" w:hint="default"/>
      </w:rPr>
    </w:lvl>
    <w:lvl w:ilvl="6" w:tplc="F3E65DA6">
      <w:start w:val="1"/>
      <w:numFmt w:val="bullet"/>
      <w:lvlText w:val=""/>
      <w:lvlJc w:val="left"/>
      <w:pPr>
        <w:ind w:left="5040" w:hanging="360"/>
      </w:pPr>
      <w:rPr>
        <w:rFonts w:ascii="Symbol" w:hAnsi="Symbol" w:hint="default"/>
      </w:rPr>
    </w:lvl>
    <w:lvl w:ilvl="7" w:tplc="1A4C3C9A">
      <w:start w:val="1"/>
      <w:numFmt w:val="bullet"/>
      <w:lvlText w:val="o"/>
      <w:lvlJc w:val="left"/>
      <w:pPr>
        <w:ind w:left="5760" w:hanging="360"/>
      </w:pPr>
      <w:rPr>
        <w:rFonts w:ascii="Courier New" w:hAnsi="Courier New" w:hint="default"/>
      </w:rPr>
    </w:lvl>
    <w:lvl w:ilvl="8" w:tplc="395CE784">
      <w:start w:val="1"/>
      <w:numFmt w:val="bullet"/>
      <w:lvlText w:val=""/>
      <w:lvlJc w:val="left"/>
      <w:pPr>
        <w:ind w:left="6480" w:hanging="360"/>
      </w:pPr>
      <w:rPr>
        <w:rFonts w:ascii="Wingdings" w:hAnsi="Wingdings" w:hint="default"/>
      </w:rPr>
    </w:lvl>
  </w:abstractNum>
  <w:abstractNum w:abstractNumId="3" w15:restartNumberingAfterBreak="0">
    <w:nsid w:val="7CE9423E"/>
    <w:multiLevelType w:val="hybridMultilevel"/>
    <w:tmpl w:val="11B6B96E"/>
    <w:lvl w:ilvl="0" w:tplc="2E62AA84">
      <w:start w:val="1"/>
      <w:numFmt w:val="bullet"/>
      <w:lvlText w:val="-"/>
      <w:lvlJc w:val="left"/>
      <w:pPr>
        <w:ind w:left="720" w:hanging="360"/>
      </w:pPr>
      <w:rPr>
        <w:rFonts w:ascii="&quot;Times New Roman&quot;,serif" w:hAnsi="&quot;Times New Roman&quot;,serif" w:hint="default"/>
      </w:rPr>
    </w:lvl>
    <w:lvl w:ilvl="1" w:tplc="2CDC7ACE">
      <w:start w:val="1"/>
      <w:numFmt w:val="bullet"/>
      <w:lvlText w:val="o"/>
      <w:lvlJc w:val="left"/>
      <w:pPr>
        <w:ind w:left="1440" w:hanging="360"/>
      </w:pPr>
      <w:rPr>
        <w:rFonts w:ascii="Courier New" w:hAnsi="Courier New" w:hint="default"/>
      </w:rPr>
    </w:lvl>
    <w:lvl w:ilvl="2" w:tplc="CF2C7BF0">
      <w:start w:val="1"/>
      <w:numFmt w:val="bullet"/>
      <w:lvlText w:val=""/>
      <w:lvlJc w:val="left"/>
      <w:pPr>
        <w:ind w:left="2160" w:hanging="360"/>
      </w:pPr>
      <w:rPr>
        <w:rFonts w:ascii="Wingdings" w:hAnsi="Wingdings" w:hint="default"/>
      </w:rPr>
    </w:lvl>
    <w:lvl w:ilvl="3" w:tplc="1F02FC56">
      <w:start w:val="1"/>
      <w:numFmt w:val="bullet"/>
      <w:lvlText w:val=""/>
      <w:lvlJc w:val="left"/>
      <w:pPr>
        <w:ind w:left="2880" w:hanging="360"/>
      </w:pPr>
      <w:rPr>
        <w:rFonts w:ascii="Symbol" w:hAnsi="Symbol" w:hint="default"/>
      </w:rPr>
    </w:lvl>
    <w:lvl w:ilvl="4" w:tplc="0FB86818">
      <w:start w:val="1"/>
      <w:numFmt w:val="bullet"/>
      <w:lvlText w:val="o"/>
      <w:lvlJc w:val="left"/>
      <w:pPr>
        <w:ind w:left="3600" w:hanging="360"/>
      </w:pPr>
      <w:rPr>
        <w:rFonts w:ascii="Courier New" w:hAnsi="Courier New" w:hint="default"/>
      </w:rPr>
    </w:lvl>
    <w:lvl w:ilvl="5" w:tplc="F43C3108">
      <w:start w:val="1"/>
      <w:numFmt w:val="bullet"/>
      <w:lvlText w:val=""/>
      <w:lvlJc w:val="left"/>
      <w:pPr>
        <w:ind w:left="4320" w:hanging="360"/>
      </w:pPr>
      <w:rPr>
        <w:rFonts w:ascii="Wingdings" w:hAnsi="Wingdings" w:hint="default"/>
      </w:rPr>
    </w:lvl>
    <w:lvl w:ilvl="6" w:tplc="700E6CA4">
      <w:start w:val="1"/>
      <w:numFmt w:val="bullet"/>
      <w:lvlText w:val=""/>
      <w:lvlJc w:val="left"/>
      <w:pPr>
        <w:ind w:left="5040" w:hanging="360"/>
      </w:pPr>
      <w:rPr>
        <w:rFonts w:ascii="Symbol" w:hAnsi="Symbol" w:hint="default"/>
      </w:rPr>
    </w:lvl>
    <w:lvl w:ilvl="7" w:tplc="2C74C7BA">
      <w:start w:val="1"/>
      <w:numFmt w:val="bullet"/>
      <w:lvlText w:val="o"/>
      <w:lvlJc w:val="left"/>
      <w:pPr>
        <w:ind w:left="5760" w:hanging="360"/>
      </w:pPr>
      <w:rPr>
        <w:rFonts w:ascii="Courier New" w:hAnsi="Courier New" w:hint="default"/>
      </w:rPr>
    </w:lvl>
    <w:lvl w:ilvl="8" w:tplc="DAA21D0C">
      <w:start w:val="1"/>
      <w:numFmt w:val="bullet"/>
      <w:lvlText w:val=""/>
      <w:lvlJc w:val="left"/>
      <w:pPr>
        <w:ind w:left="6480" w:hanging="360"/>
      </w:pPr>
      <w:rPr>
        <w:rFonts w:ascii="Wingdings" w:hAnsi="Wingdings" w:hint="default"/>
      </w:rPr>
    </w:lvl>
  </w:abstractNum>
  <w:num w:numId="1" w16cid:durableId="558903638">
    <w:abstractNumId w:val="0"/>
  </w:num>
  <w:num w:numId="2" w16cid:durableId="650061399">
    <w:abstractNumId w:val="1"/>
  </w:num>
  <w:num w:numId="3" w16cid:durableId="1690401119">
    <w:abstractNumId w:val="3"/>
  </w:num>
  <w:num w:numId="4" w16cid:durableId="1846940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A6"/>
    <w:rsid w:val="000C425C"/>
    <w:rsid w:val="00827761"/>
    <w:rsid w:val="00A80B41"/>
    <w:rsid w:val="00BF3192"/>
    <w:rsid w:val="00D31EA6"/>
    <w:rsid w:val="00DE5342"/>
    <w:rsid w:val="00F45C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C66C4"/>
  <w15:chartTrackingRefBased/>
  <w15:docId w15:val="{E72033AD-2638-4275-A5DF-40ED04BC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31EA6"/>
    <w:pPr>
      <w:spacing w:after="0" w:line="240" w:lineRule="auto"/>
      <w:jc w:val="both"/>
    </w:pPr>
    <w:rPr>
      <w:rFonts w:ascii="Times New Roman" w:eastAsia="Times New Roman" w:hAnsi="Times New Roman" w:cs="Times New Roman"/>
      <w:kern w:val="0"/>
      <w:sz w:val="20"/>
      <w:szCs w:val="20"/>
      <w:lang w:eastAsia="hu-HU"/>
      <w14:ligatures w14:val="none"/>
    </w:rPr>
  </w:style>
  <w:style w:type="paragraph" w:styleId="Cmsor1">
    <w:name w:val="heading 1"/>
    <w:basedOn w:val="Norml"/>
    <w:next w:val="Norml"/>
    <w:link w:val="Cmsor1Char"/>
    <w:uiPriority w:val="9"/>
    <w:qFormat/>
    <w:rsid w:val="00D31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31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31EA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31EA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31EA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31EA6"/>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31EA6"/>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31EA6"/>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31EA6"/>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31EA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31EA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31EA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31EA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31EA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31EA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31EA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31EA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31EA6"/>
    <w:rPr>
      <w:rFonts w:eastAsiaTheme="majorEastAsia" w:cstheme="majorBidi"/>
      <w:color w:val="272727" w:themeColor="text1" w:themeTint="D8"/>
    </w:rPr>
  </w:style>
  <w:style w:type="paragraph" w:styleId="Cm">
    <w:name w:val="Title"/>
    <w:basedOn w:val="Norml"/>
    <w:next w:val="Norml"/>
    <w:link w:val="CmChar"/>
    <w:uiPriority w:val="10"/>
    <w:qFormat/>
    <w:rsid w:val="00D31EA6"/>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31EA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31EA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31EA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31EA6"/>
    <w:pPr>
      <w:spacing w:before="160"/>
      <w:jc w:val="center"/>
    </w:pPr>
    <w:rPr>
      <w:i/>
      <w:iCs/>
      <w:color w:val="404040" w:themeColor="text1" w:themeTint="BF"/>
    </w:rPr>
  </w:style>
  <w:style w:type="character" w:customStyle="1" w:styleId="IdzetChar">
    <w:name w:val="Idézet Char"/>
    <w:basedOn w:val="Bekezdsalapbettpusa"/>
    <w:link w:val="Idzet"/>
    <w:uiPriority w:val="29"/>
    <w:rsid w:val="00D31EA6"/>
    <w:rPr>
      <w:i/>
      <w:iCs/>
      <w:color w:val="404040" w:themeColor="text1" w:themeTint="BF"/>
    </w:rPr>
  </w:style>
  <w:style w:type="paragraph" w:styleId="Listaszerbekezds">
    <w:name w:val="List Paragraph"/>
    <w:basedOn w:val="Norml"/>
    <w:uiPriority w:val="34"/>
    <w:qFormat/>
    <w:rsid w:val="00D31EA6"/>
    <w:pPr>
      <w:ind w:left="720"/>
      <w:contextualSpacing/>
    </w:pPr>
  </w:style>
  <w:style w:type="character" w:styleId="Erskiemels">
    <w:name w:val="Intense Emphasis"/>
    <w:basedOn w:val="Bekezdsalapbettpusa"/>
    <w:uiPriority w:val="21"/>
    <w:qFormat/>
    <w:rsid w:val="00D31EA6"/>
    <w:rPr>
      <w:i/>
      <w:iCs/>
      <w:color w:val="0F4761" w:themeColor="accent1" w:themeShade="BF"/>
    </w:rPr>
  </w:style>
  <w:style w:type="paragraph" w:styleId="Kiemeltidzet">
    <w:name w:val="Intense Quote"/>
    <w:basedOn w:val="Norml"/>
    <w:next w:val="Norml"/>
    <w:link w:val="KiemeltidzetChar"/>
    <w:uiPriority w:val="30"/>
    <w:qFormat/>
    <w:rsid w:val="00D31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31EA6"/>
    <w:rPr>
      <w:i/>
      <w:iCs/>
      <w:color w:val="0F4761" w:themeColor="accent1" w:themeShade="BF"/>
    </w:rPr>
  </w:style>
  <w:style w:type="character" w:styleId="Ershivatkozs">
    <w:name w:val="Intense Reference"/>
    <w:basedOn w:val="Bekezdsalapbettpusa"/>
    <w:uiPriority w:val="32"/>
    <w:qFormat/>
    <w:rsid w:val="00D31E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2057</Words>
  <Characters>15533</Characters>
  <Application>Microsoft Office Word</Application>
  <DocSecurity>0</DocSecurity>
  <Lines>254</Lines>
  <Paragraphs>105</Paragraphs>
  <ScaleCrop>false</ScaleCrop>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Farkas Judit</dc:creator>
  <cp:keywords/>
  <dc:description/>
  <cp:lastModifiedBy>Dr. Farkas Judit</cp:lastModifiedBy>
  <cp:revision>2</cp:revision>
  <dcterms:created xsi:type="dcterms:W3CDTF">2025-02-05T16:25:00Z</dcterms:created>
  <dcterms:modified xsi:type="dcterms:W3CDTF">2025-02-05T16:27:00Z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3127bb1b-c77d-48fd-a9b7-9807568b7223</vt:lpwstr>
  </property>
</Properties>
</file>