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62796727" w:rsidR="00437750" w:rsidRPr="000355F5" w:rsidRDefault="00594C51" w:rsidP="000355F5">
      <w:pPr>
        <w:spacing w:after="360"/>
        <w:jc w:val="both"/>
        <w:rPr>
          <w:rFonts w:ascii="Cambria" w:hAnsi="Cambria" w:cstheme="minorHAnsi"/>
          <w:sz w:val="28"/>
          <w:szCs w:val="28"/>
          <w:lang w:val="en-US"/>
        </w:rPr>
      </w:pPr>
      <w:r w:rsidRPr="000355F5">
        <w:rPr>
          <w:rFonts w:ascii="Cambria" w:hAnsi="Cambria"/>
          <w:b/>
          <w:noProof/>
          <w:sz w:val="28"/>
          <w:szCs w:val="28"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31FC" w14:textId="0105FB30" w:rsidR="000355F5" w:rsidRPr="000355F5" w:rsidRDefault="000355F5" w:rsidP="000355F5">
      <w:pPr>
        <w:spacing w:after="360"/>
        <w:jc w:val="both"/>
        <w:rPr>
          <w:rFonts w:ascii="Cambria" w:hAnsi="Cambria" w:cstheme="minorHAnsi"/>
          <w:b/>
          <w:bCs/>
          <w:sz w:val="28"/>
          <w:szCs w:val="28"/>
          <w:lang w:val="en-US"/>
        </w:rPr>
      </w:pP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Publikációs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feltételek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,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formai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követelmények</w:t>
      </w:r>
      <w:proofErr w:type="spellEnd"/>
      <w:r w:rsidRPr="000355F5">
        <w:rPr>
          <w:rFonts w:ascii="Cambria" w:hAnsi="Cambria" w:cstheme="minorHAnsi"/>
          <w:b/>
          <w:bCs/>
          <w:sz w:val="28"/>
          <w:szCs w:val="28"/>
          <w:lang w:val="en-US"/>
        </w:rPr>
        <w:t>:</w:t>
      </w:r>
    </w:p>
    <w:p w14:paraId="0E6A907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Tudásmenedzsment folyóirat szerkesztősége a bölcsészet-és társadalomtudományok területén, az alábbi témakörökben kínál publikációs lehetőséget:</w:t>
      </w:r>
    </w:p>
    <w:p w14:paraId="293551A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közművelődés és kultúraközvetítés</w:t>
      </w:r>
    </w:p>
    <w:p w14:paraId="7D89D8B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közösségszervezés és közösségfejlesztés</w:t>
      </w:r>
    </w:p>
    <w:p w14:paraId="5AAA17F2" w14:textId="77777777" w:rsid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művelődésszociológia, nevelésszociológia, oktatásszociológia</w:t>
      </w:r>
    </w:p>
    <w:p w14:paraId="51D38679" w14:textId="7DDF0916" w:rsidR="000355F5" w:rsidRPr="000355F5" w:rsidRDefault="000355F5" w:rsidP="000355F5">
      <w:pPr>
        <w:shd w:val="clear" w:color="auto" w:fill="FFFFFF"/>
        <w:spacing w:after="165" w:line="240" w:lineRule="auto"/>
        <w:ind w:left="888" w:hanging="888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>
        <w:rPr>
          <w:rFonts w:ascii="Cambria" w:eastAsia="Times New Roman" w:hAnsi="Cambria" w:cs="Times New Roman"/>
          <w:sz w:val="28"/>
          <w:szCs w:val="28"/>
          <w:lang w:val="hu-HU" w:eastAsia="hu-HU"/>
        </w:rPr>
        <w:t xml:space="preserve">- </w:t>
      </w:r>
      <w:r>
        <w:rPr>
          <w:rFonts w:ascii="Cambria" w:eastAsia="Times New Roman" w:hAnsi="Cambria" w:cs="Times New Roman"/>
          <w:sz w:val="28"/>
          <w:szCs w:val="28"/>
          <w:lang w:val="hu-HU" w:eastAsia="hu-HU"/>
        </w:rPr>
        <w:tab/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pedagógiai pszichológia, munkalélektan, szervezetpszichológia, művészetpszichológia</w:t>
      </w:r>
    </w:p>
    <w:p w14:paraId="3ADAC2E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kultúraelmélet</w:t>
      </w:r>
    </w:p>
    <w:p w14:paraId="7573BD7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kultúratudományok</w:t>
      </w:r>
    </w:p>
    <w:p w14:paraId="74380B6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kulturális politika és kulturális igazgatás</w:t>
      </w:r>
    </w:p>
    <w:p w14:paraId="251AE083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kultúra-gazdaságtan</w:t>
      </w:r>
    </w:p>
    <w:p w14:paraId="1323D6F0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oktatáspolitika, -igazgatás, -jog és -gazdaságtan</w:t>
      </w:r>
    </w:p>
    <w:p w14:paraId="60F9646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-             közösségfilozófia, 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kultúrfilozófia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, nevelésfilozófia</w:t>
      </w:r>
    </w:p>
    <w:p w14:paraId="5A8D3ACD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kultúrtörténet, művelődéstörténet, neveléstörténet</w:t>
      </w:r>
    </w:p>
    <w:p w14:paraId="7715A89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-             neveléstudomány (pedagógia, andragógia, 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gerontagógia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)</w:t>
      </w:r>
    </w:p>
    <w:p w14:paraId="14F13B5E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szakképzés és felnőttképzés</w:t>
      </w:r>
    </w:p>
    <w:p w14:paraId="057F3388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             humánerőforrás-gazdálkodás és munkaerőpiac</w:t>
      </w:r>
    </w:p>
    <w:p w14:paraId="7BE8AC9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-             az emberi erőforrás gazdálkodás és menedzsment vállalati szintű kutatásai</w:t>
      </w:r>
    </w:p>
    <w:p w14:paraId="283201EF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502AD5A5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b/>
          <w:bCs/>
          <w:sz w:val="28"/>
          <w:szCs w:val="28"/>
          <w:lang w:val="hu-HU" w:eastAsia="hu-HU"/>
        </w:rPr>
        <w:lastRenderedPageBreak/>
        <w:t>Formai követelmények és egyéb információk:</w:t>
      </w:r>
    </w:p>
    <w:p w14:paraId="1652FB0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Kérjük szerzőinket, hogy írásaikat a </w:t>
      </w:r>
      <w:hyperlink r:id="rId9" w:tooltip="honlapról letölthető sablon" w:history="1">
        <w:r w:rsidRPr="000355F5">
          <w:rPr>
            <w:rFonts w:ascii="Cambria" w:eastAsia="Times New Roman" w:hAnsi="Cambria" w:cs="Times New Roman"/>
            <w:b/>
            <w:bCs/>
            <w:i/>
            <w:iCs/>
            <w:sz w:val="28"/>
            <w:szCs w:val="28"/>
            <w:lang w:val="hu-HU" w:eastAsia="hu-HU"/>
          </w:rPr>
          <w:t>honlapról letölthető sablon</w:t>
        </w:r>
      </w:hyperlink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 xml:space="preserve"> alapján 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minimum 25 000 és maximum 40 000 karakter terjedelemben készítsék el. A karakterszám szóköz nélkül értendő.</w:t>
      </w:r>
    </w:p>
    <w:p w14:paraId="087403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Hivatkozási mód: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APA</w:t>
      </w:r>
    </w:p>
    <w:p w14:paraId="65BABAD4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1503236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Kézirat benyújtása: </w:t>
      </w:r>
      <w:hyperlink r:id="rId10" w:history="1">
        <w:r w:rsidRPr="000355F5">
          <w:rPr>
            <w:rFonts w:ascii="Cambria" w:eastAsia="Times New Roman" w:hAnsi="Cambria" w:cs="Calibri"/>
            <w:sz w:val="28"/>
            <w:szCs w:val="28"/>
            <w:u w:val="single"/>
            <w:lang w:val="hu-HU" w:eastAsia="hu-HU"/>
          </w:rPr>
          <w:t>tudasmenedzsment@pte.hu</w:t>
        </w:r>
      </w:hyperlink>
    </w:p>
    <w:p w14:paraId="3471BC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0A5D0A6F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A tanulmányokhoz kapcsolódóan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magyar és angol nyelvű absztrakt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 benyújtását várjuk szerzőinktől </w:t>
      </w:r>
      <w:hyperlink r:id="rId11" w:tooltip="a megadott sablon alapján." w:history="1">
        <w:r w:rsidRPr="000355F5">
          <w:rPr>
            <w:rFonts w:ascii="Cambria" w:eastAsia="Times New Roman" w:hAnsi="Cambria" w:cs="Times New Roman"/>
            <w:sz w:val="28"/>
            <w:szCs w:val="28"/>
            <w:lang w:val="hu-HU" w:eastAsia="hu-HU"/>
          </w:rPr>
          <w:t>a megadott sablon alapján.</w:t>
        </w:r>
      </w:hyperlink>
    </w:p>
    <w:p w14:paraId="2E65F76D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magyar és angol nyelvű absztrakt terjedelme: minimum 1200 karakter, maximum 1500 karakter (szóköz nélkül).</w:t>
      </w:r>
    </w:p>
    <w:p w14:paraId="18D1E5CB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Kérjük szerzőinket, hogy írásaikkal egyidejűleg küldjék meg </w:t>
      </w:r>
      <w:r w:rsidRPr="000355F5">
        <w:rPr>
          <w:rFonts w:ascii="Cambria" w:eastAsia="Times New Roman" w:hAnsi="Cambria" w:cs="Calibri"/>
          <w:b/>
          <w:bCs/>
          <w:i/>
          <w:iCs/>
          <w:sz w:val="28"/>
          <w:szCs w:val="28"/>
          <w:lang w:val="hu-HU" w:eastAsia="hu-HU"/>
        </w:rPr>
        <w:t>rövid, magyar és angol nyelvű bemutatkozás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ukat. (Név, tudományos fokozat, munkakör, intézmény, kutatási terület(</w:t>
      </w:r>
      <w:proofErr w:type="spellStart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ek</w:t>
      </w:r>
      <w:proofErr w:type="spellEnd"/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) vázlatos felsorolása, e-mail cím)</w:t>
      </w:r>
    </w:p>
    <w:p w14:paraId="4769646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Tudásmenedzsment folyóiratban kizárólag első közlések jelenthetők meg. </w:t>
      </w:r>
    </w:p>
    <w:p w14:paraId="313CA997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folyóiratban való publikálás díjtalan.</w:t>
      </w:r>
    </w:p>
    <w:p w14:paraId="7F42E336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Times New Roman"/>
          <w:sz w:val="28"/>
          <w:szCs w:val="28"/>
          <w:lang w:val="hu-HU" w:eastAsia="hu-HU"/>
        </w:rPr>
        <w:t> </w:t>
      </w:r>
    </w:p>
    <w:p w14:paraId="44139B42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b/>
          <w:bCs/>
          <w:sz w:val="28"/>
          <w:szCs w:val="28"/>
          <w:lang w:val="hu-HU" w:eastAsia="hu-HU"/>
        </w:rPr>
        <w:t>Bírálati folyamat:</w:t>
      </w:r>
    </w:p>
    <w:p w14:paraId="3F380A9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Tudásmenedzsment folyóirat dupla vak lektorálást követően publikál írásokat. Külső lektort a folyóirat opcionálisan kér fel, a beérkezett írások lektorálása elsősorban a szerkesztőbizottságon belül valósul meg. Az írásokat minden esetben az adott szakterületet jól ismerő szakemberek lektorálják.</w:t>
      </w:r>
    </w:p>
    <w:p w14:paraId="63FA437A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lektori bírálati folyamat egy hónapot vesz igénybe. A szerkesztőség az értékeléseket a lektorok nevének feltüntetése nélkül, elektronikus úton küldi meg a szerzőnek (több szerző esetén csak az első szerzőnek).</w:t>
      </w:r>
    </w:p>
    <w:p w14:paraId="12FB8141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>A benyújtott írásokat két pozitív bírálat esetén, a szerkesztőbizottság által szükségesnek tartott szerzői módosításokat követően közli a folyóirat. Egy negatív és egy pozitív bírálat esetén a szerkesztőség dönt az írás megjelentetéséről, illetve a szükséges módosításokról. Két negatív bírálat esetén a publikáció megjelentetését elutasítja a folyóirat.</w:t>
      </w:r>
    </w:p>
    <w:p w14:paraId="559A5D99" w14:textId="77777777" w:rsidR="000355F5" w:rsidRPr="000355F5" w:rsidRDefault="000355F5" w:rsidP="000355F5">
      <w:pPr>
        <w:shd w:val="clear" w:color="auto" w:fill="FFFFFF"/>
        <w:spacing w:after="165" w:line="240" w:lineRule="auto"/>
        <w:jc w:val="both"/>
        <w:rPr>
          <w:rFonts w:ascii="Cambria" w:eastAsia="Times New Roman" w:hAnsi="Cambria" w:cs="Times New Roman"/>
          <w:sz w:val="28"/>
          <w:szCs w:val="28"/>
          <w:lang w:val="hu-HU" w:eastAsia="hu-HU"/>
        </w:rPr>
      </w:pP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t xml:space="preserve">A publikáció szerkesztőbizottság címére történő beküldésével a szerző hozzájárul ahhoz, hogy a szerkesztőbizottság az írást a PTE BTK HFMI </w:t>
      </w:r>
      <w:r w:rsidRPr="000355F5">
        <w:rPr>
          <w:rFonts w:ascii="Cambria" w:eastAsia="Times New Roman" w:hAnsi="Cambria" w:cs="Calibri"/>
          <w:sz w:val="28"/>
          <w:szCs w:val="28"/>
          <w:lang w:val="hu-HU" w:eastAsia="hu-HU"/>
        </w:rPr>
        <w:lastRenderedPageBreak/>
        <w:t>Tudásmenedzsment honlapján, az OJS-rendszerben, valamint más, szakmai és tudományos honlapokon (pl. MTMT) egyaránt megjelentesse.</w:t>
      </w:r>
    </w:p>
    <w:p w14:paraId="05469ED5" w14:textId="77777777" w:rsidR="000355F5" w:rsidRPr="000355F5" w:rsidRDefault="000355F5" w:rsidP="000355F5">
      <w:pPr>
        <w:spacing w:after="360"/>
        <w:jc w:val="both"/>
        <w:rPr>
          <w:rFonts w:ascii="Cambria" w:hAnsi="Cambria" w:cstheme="minorHAnsi"/>
          <w:sz w:val="28"/>
          <w:szCs w:val="28"/>
          <w:lang w:val="en-US"/>
        </w:rPr>
      </w:pPr>
    </w:p>
    <w:sectPr w:rsidR="000355F5" w:rsidRPr="0003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C3DE" w14:textId="77777777" w:rsidR="008E288F" w:rsidRDefault="008E288F" w:rsidP="00B92B93">
      <w:pPr>
        <w:spacing w:after="0" w:line="240" w:lineRule="auto"/>
      </w:pPr>
      <w:r>
        <w:separator/>
      </w:r>
    </w:p>
  </w:endnote>
  <w:endnote w:type="continuationSeparator" w:id="0">
    <w:p w14:paraId="14D14687" w14:textId="77777777" w:rsidR="008E288F" w:rsidRDefault="008E288F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C5CA" w14:textId="77777777" w:rsidR="008E288F" w:rsidRDefault="008E288F" w:rsidP="00B92B93">
      <w:pPr>
        <w:spacing w:after="0" w:line="240" w:lineRule="auto"/>
      </w:pPr>
      <w:r>
        <w:separator/>
      </w:r>
    </w:p>
  </w:footnote>
  <w:footnote w:type="continuationSeparator" w:id="0">
    <w:p w14:paraId="7D4D6B6A" w14:textId="77777777" w:rsidR="008E288F" w:rsidRDefault="008E288F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355F5"/>
    <w:rsid w:val="000D1266"/>
    <w:rsid w:val="00285A9A"/>
    <w:rsid w:val="00290B5E"/>
    <w:rsid w:val="002D5950"/>
    <w:rsid w:val="00325EA8"/>
    <w:rsid w:val="003347DB"/>
    <w:rsid w:val="00342401"/>
    <w:rsid w:val="00354D04"/>
    <w:rsid w:val="003E27BD"/>
    <w:rsid w:val="00437750"/>
    <w:rsid w:val="004552F7"/>
    <w:rsid w:val="005416BB"/>
    <w:rsid w:val="00567311"/>
    <w:rsid w:val="00573726"/>
    <w:rsid w:val="00594C51"/>
    <w:rsid w:val="005C11F2"/>
    <w:rsid w:val="006225A6"/>
    <w:rsid w:val="0068456C"/>
    <w:rsid w:val="006B413E"/>
    <w:rsid w:val="006D20C8"/>
    <w:rsid w:val="00710418"/>
    <w:rsid w:val="007B5FC1"/>
    <w:rsid w:val="007C1D85"/>
    <w:rsid w:val="008412BB"/>
    <w:rsid w:val="008536F2"/>
    <w:rsid w:val="008840D3"/>
    <w:rsid w:val="008E288F"/>
    <w:rsid w:val="008F4F40"/>
    <w:rsid w:val="00914DB7"/>
    <w:rsid w:val="0094166A"/>
    <w:rsid w:val="009C78A6"/>
    <w:rsid w:val="00A046D0"/>
    <w:rsid w:val="00B3480D"/>
    <w:rsid w:val="00B63CFD"/>
    <w:rsid w:val="00B92B93"/>
    <w:rsid w:val="00B94745"/>
    <w:rsid w:val="00C85766"/>
    <w:rsid w:val="00CE585A"/>
    <w:rsid w:val="00D20AAA"/>
    <w:rsid w:val="00D32418"/>
    <w:rsid w:val="00D545A3"/>
    <w:rsid w:val="00DF2A4D"/>
    <w:rsid w:val="00E675BF"/>
    <w:rsid w:val="00E829CA"/>
    <w:rsid w:val="00EC3168"/>
    <w:rsid w:val="00F2683B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k.pte.hu/sites/btk.pte.hu/files/hfmi/Tud%C3%A1smenedzsment%20sablon%20publik%C3%A1ci%C3%B3khoz_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dasmenedzsment@p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sites/btk.pte.hu/files/hfmi/Tud%C3%A1smenedzsment%20sablon%20publik%C3%A1ci%C3%B3khoz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Koltai Zsuzsa</cp:lastModifiedBy>
  <cp:revision>6</cp:revision>
  <dcterms:created xsi:type="dcterms:W3CDTF">2020-10-06T06:03:00Z</dcterms:created>
  <dcterms:modified xsi:type="dcterms:W3CDTF">2020-10-06T06:14:00Z</dcterms:modified>
</cp:coreProperties>
</file>