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Valamennyi oktatónak, TDK felelősnek, hallgatónak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Helyben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5"/>
        </w:tabs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Kedves Kolleginák, Kollégák, TDK Felelősök, TDK-zó Hallgatók!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Hagyományainknak megfelelően a 2024/2025-es tanév őszi szemeszterében is megrendezzük az Intézményi Tudományos Diákköri Konferenciát, amelyen a hallgatók a XXXVII. Országos Tudományos Diákköri Konferencián (OTDK) való részvételre szerezhetnek jogosultságot. Az őszi intézményi TDK elsődleges célja azon hallgatók OTDK szereplésének biztosítása, akik valamilyen oknál fogva nem vettek részt a tavaszi fordulón.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 intézményi TDK-n ennek megfelelően helyezéseket nem osztunk ki. A szóbeli prezentációt követően a hallgatók arról kapnak visszajelzést, hogy a tagozati bizottság támogatja, vagy nem támogatja a pályamű OTDK-nevezését. A hallgatók a részvételről oklevelet kapnak.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konferencia időpontja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2024. november 22. péntek.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Minthogy az OTDK-ra történő nevezés előfeltétele, hogy az indulni kívánó hallgatók a megfelelő formai kritériumoknak megfelelő TDK dolgozataikat az OTDT online rendszerébe feltöltsék, fontos, hogy az alábbi kéréseket, instrukciókat, határidőket maximálisan vegye mindenki figyelembe.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Határidők, időpontok: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2024. október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vasárnap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) 24:00-ig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3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a nevezés leadása elektronikus (WORD és PDF) formátumban;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a dolgozatok megküldése elektronikus (PDF) formátumban;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2024. október-november: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opponensek felkérése; dolgozatok bíráltatása; az opponensi vélemények beérkezése, megküldése a hallgatóknak; a 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agozatok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beosztása; a zsűrik összeállítása; a konferencia előkészítése;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2024. november 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3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9.00–16.00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Intézményi Tudományos Diákköri Konferencia (a jelentkezők számának függvényében változhat);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2025. december-január: az első alkalommal résztvevők regisztrációja az OTDT online rendszerben (egyénileg);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2025. december-január: A pályamunkák feltöltése az OTDT rendszerbe (egyénileg).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 nevezés feltételei: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kitöltött, aláírt jelentkezési lap (letölthető a KTDT honlapjáról) elektronikus változatának eljuttatása a KTDT-hez, illetőleg a szak, intézet TDK-felelőséhez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z aláírás után digitalizálva (PDF-formátumban)!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7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Intézményi igazolás leadása az aktív hallgatói jogviszonyról digitalizálva (PDF formátumban).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7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dolgozat rövid (max. 1000n terjedelmű) tartalmi összefoglalója elektronikus változatának (WORD formátumban) eljuttatása a KTDT-hez, valamint az intézet, szak TDK-felelősének drótposta címére.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7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jeligével ellátott pályaművet PDF-formátumban a KTDT drótposta címére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ktdt.btk.pte@gmail.com)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kérjük eljuttatni. Kérjük, a pályamunkán ne tüntessék fel a szerző és a témavezető nevét!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 fájl címe egyezzen meg a jeligével!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konzulenssel tett közös nyilatkozat (az űrlap letölthető a honlapról) eljuttatása a KTDT-hez (aláírás után digitalizálva, PDF formátumban).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jelentkezési adatok megadása és feltöltése a következő űrlapon: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4"/>
          <w:szCs w:val="24"/>
          <w:rtl w:val="0"/>
        </w:rPr>
        <w:t xml:space="preserve">https://forms.gle/mJgn2Giu35VZvuF88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 résztvevők köre: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konferenciára a PTE BTK-val aktív hallgatói jogviszonyban álló hallgatók nevezhetnek.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Azok a hallgatók jelentkezhetnek, akik a jelentkezés előtt még nem szereztek MA abszolutóriumot, és nem záróvizsgáztak. Ebből következik, hogy a 2024 júniusában MA-n végzett hallgatók sajnálatos módon nem mérettethetik meg magukat a versenyen.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levelezős hallgatók részvételével kapcsolatban a következő kritériumot kell szem előtt tartanunk: másoddiplomás alapképzésben résztvevők közül a második szakjukat folyamatos jogviszony keretében végzők mutathatják be dolgozataikat – melyeket e szak keretében készítettek.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A pályamű: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51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leendő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diplomamunkával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megegyezhet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TDK dolgozat. Minthogy az intézményi TDK kiírása értelmében a diplomadolgozatok leadási határidejét megelőzi az intézményi TDK-ra történő jelentkezés dátuma, így értelemszerűen az őszi szemeszterben záróvizsgázni kívánó hallgatók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részt vehetnek készülő szakdolgozatukkal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konferencián. (Majd az OTDK-ra történő nevezéshez közös nyilatkozatot kell tenni a konzulenssel, hogy még az abszolutórium kiállítása előtt mutatták be a pályaművet.)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Az OTDK-ra benyújtott munk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címének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azonosnak kell lennie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azzal a pályamunkával, melyet a hallgató az intézményi konferencián bemutatott. Az intézményi TDK-n bemutatott dolgozatok címei a konferenciát követően az OTDK adatbázisában rögzítésre kerülnek.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formai és terjedelmi kritériumokat illetően az OTDT előírásai az irányadóak. Annál is inkább érdemes tanulmányozni mivel a korábbi tapasztalatok szerint az egyes szekciók elvárásai nem egységesek. (Segítségként az alábbiakban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röviden összefoglaljuk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az egyes szekciók felhívásainak formai követelményeit.) Bővebben l. a 37. OTDK szekciófelhívásainak formai követelményekről szóló mellékletét: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https://otdk.hu/szekcio-felhivasok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Humán Tudományi Szekció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Betűtípus: Times New Roman Betűméret: 12 pt Sortáv: 1,5 Margó: 2,5 cm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Szekció specifikus kritériumok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pályamunka terjedelme minimum 40.000, maximum 90.000 leütés (karakter szóközzel) lehet, amibe a (láb)jegyzetek, a tartalom- és irodalomjegyzék is beleszámít, a mellékletek viszont ezen kívül értendők. A mellékletek kiegészítő dokumentumként tölthetők fel az OTDT online rendszerbe, a kiegészítő dokumentumra vonatkozó fenti leírás alapján.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Pedagógiai, Pszichológiai, Andragógiai és Könyvtártudományi Szekció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Általános formai kritériumok: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Betűtípus: Times New Roman Betűméret: 12 pt Sortáv: 1,5 Margó: 2,5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Szekció specifikus kritériumok: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dolgozat terjedelmi követelménye minimum 20 oldal, maximum 40 oldal. E terjedelembe beletartozik a tartalomjegyzék, az absztrakt és az irodalomjegyzék. A főszövegben szintén javasolt elhelyezni azokat az ábrákat és táblázatokat, melyek a szövegben leírtak megértéséhez szükségesek. Amennyiben ezeken felül is szeretne a szerző táblázatokat, ábrákat csatolni, ám azok nem nélkülözhetetlenek a főszöveg megértéséhez, azok a mellékletben helyezhetőek el. A pályamunkában szereplő ábrákat és táblázatokat számozni kell, és a szövegben ennek megfelelően kell hivatkozni rájuk. A dolgozat melléklete (mely a 20-40 oldal terjedelmen felül számítható) külön fájlban, kiegészítő dokumentumként kezelendő és tölthető fel (amennyiben azonban a melléklettel együtt sem haladná meg a terjedelem a 40 oldalt, egy fájlként feltölthető a pályamunkával együtt). Kiegészítő dokumentum feltöltése tehát engedélyezett. A kiegészítő dokumentumot egyetlen fájlként kell feltölteni, amelynek maximum mérete 10 megabájt lehet. Hivatkozások módja: A hivatkozások és az irodalomjegyzék formátumának az APA hivatkozási stílust kell követni, erről részletes tájékoztatás található a Gyermeknevelés Tudományos Folyóirat honlapján, amely az alábbi linken keresztül elérhető: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http://ojs.elte.hu/gyermekneveles/stylesheet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Tanulás- és Tanításmódszertani – Tudástechnológiai Szekció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Általános formai kritériumok: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betűtípusra és oldalbeállításra vonatkozó alábbi paraméterek csak ajánlások, amennyiben a tudományterületi sajátosságok indokolják, azoktól el lehet térni. Betűtípus: Times New Roman (szakmaspecifikusan más betűtípus is lehetséges: pl. matematikai képletek esetén). A pályamunkában szereplő ábrákat és táblázatokat arab számokkal kell számozni, és a szövegben ennek megfelelően kell hivatkozni rájuk. A más szerzőktől származó ábrák, táblázatok pontos forrását minden esetben kérjük feltüntetni az ábra, illetve a táblázat címe alatt. Betűméret: 12 pt Sortáv: 1,5 Margó: 2,5 cm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Szekció specifikus kritériumok: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pályamunkának minimum 30 oldalnak kell lennie mellékletek nélkül. A teljes terjedelem irodalomjegyzékkel, mellékletekkel, fényképekkel, hivatkozásokkal, függelékkel együtt maximum 100 oldal lehet. A maximum oldalszámot az OTDT online rendszer a feltöltéskor ellenőrzi. Kiegészítő dokumentum feltöltése engedélyezett. A kiegészítő dokumentumot egy fájlként kell feltölteni, amelynek mérete maximum 10 megabájt lehet.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hivatkozások módja: APA 7.0 link: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https://sti.ppk.elte.hu/dstore/document/4459/APA%207.pdf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Címoldal: a szerző(k) nevét, szakját és képzési szintjét, a TDK-pályamunka címét, a küldő intézmény nevét, készítés éve. A pályamunkában szerepeljen tartalomjegyzék, amely a pályamunka főbb felépítését tartalmazza, oldalszámokkal együtt. Címek, alcímek: Az alcímek, fejezetcímek jelzése decimális számokkal történjen a következő módon: 1. Elsőrendű; 1.2 Másodrendű; 1.2.3 Harmadrendű. Szövegbeli kiemelések: A szövegben a nyelvi adatokat és példákat dőlt betűvel, a tartalmi kiemelést félkövér betűkkel kell jelezni. Aláhúzást, más megoldást kiemelésre ne használjon!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Társadalomtudományi Szekció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Általános formai kritériumok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Betűtípus: Times New Roman Betűméret: 12 Sortáv: 1,5 Margó: 2,5 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Szekció specifikus kritériumok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pályamunka minimum oldalszáma: 20. A pályamunka maximum oldalszáma: 60. A pályamunka tartalmi része – azaz a címlap, a tartalomjegyzék, az irodalomjegyzék és a melléklet(ek) nélkül értendő – rész legalább 20, legfeljebb 40 oldal. A nem tartalmi rész terjedelme legfeljebb 20 oldal.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Kiegészítő dokumentum feltöltése: nem engedélyezett A hivatkozások formátuma feleljen meg a szakmai sztenderdeknek (pl. Harvard-rendszer). Az irodalomjegyzékben, a táblázatokban és a mellékletekben 10-es betűtípus és 1-es sortáv is használható. Az ábrákat és a táblázatokat számozni kell, és a szövegben ennek megfelelően kell hivatkozni rájuk.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Bármely felmerülő további kérdés, probléma esetén kérjük, forduljanak bizalommal a KTDT tagjaihoz (személyesen, telefonon, drótpostán)!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Pécs, 2024. június 25.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KTDT nevében üdvözlettel: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2097498" cy="637719"/>
            <wp:effectExtent b="0" l="0" r="0" t="0"/>
            <wp:docPr descr="A képen szöveg látható&#10;&#10;Automatikusan generált leírás" id="1057" name="image6.png"/>
            <a:graphic>
              <a:graphicData uri="http://schemas.openxmlformats.org/drawingml/2006/picture">
                <pic:pic>
                  <pic:nvPicPr>
                    <pic:cNvPr descr="A képen szöveg látható&#10;&#10;Automatikusan generált leírás"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7498" cy="6377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Dr. Pohárnok Melinda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KTDT elnök sk.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134" w:top="1418" w:left="1418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0" w:right="360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 xml:space="preserve">   </w:t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drawing>
        <wp:inline distB="0" distT="0" distL="114300" distR="114300">
          <wp:extent cx="869315" cy="575945"/>
          <wp:effectExtent b="0" l="0" r="0" t="0"/>
          <wp:docPr descr="C:\Users\user\Dropbox\OTDK 2017\Szervezés\logók\emmi_logo.png" id="1059" name="image3.png"/>
          <a:graphic>
            <a:graphicData uri="http://schemas.openxmlformats.org/drawingml/2006/picture">
              <pic:pic>
                <pic:nvPicPr>
                  <pic:cNvPr descr="C:\Users\user\Dropbox\OTDK 2017\Szervezés\logók\emmi_logo.png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9315" cy="5759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drawing>
        <wp:inline distB="0" distT="0" distL="114300" distR="114300">
          <wp:extent cx="1752600" cy="603250"/>
          <wp:effectExtent b="0" l="0" r="0" t="0"/>
          <wp:docPr descr="C:\Users\user\Dropbox\OTDK 2017\Szervezés\logók\emet_logo_szines.jpg" id="1058" name="image8.jpg"/>
          <a:graphic>
            <a:graphicData uri="http://schemas.openxmlformats.org/drawingml/2006/picture">
              <pic:pic>
                <pic:nvPicPr>
                  <pic:cNvPr descr="C:\Users\user\Dropbox\OTDK 2017\Szervezés\logók\emet_logo_szines.jpg" id="0" name="image8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2600" cy="603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color w:val="000000"/>
        <w:sz w:val="20"/>
        <w:szCs w:val="20"/>
      </w:rPr>
      <w:drawing>
        <wp:inline distB="0" distT="0" distL="114300" distR="114300">
          <wp:extent cx="1475740" cy="388620"/>
          <wp:effectExtent b="0" l="0" r="0" t="0"/>
          <wp:docPr descr="C:\Users\user\Dropbox\OTDK 2017\Szervezés\logók\ntp_72_rgb.jpg" id="1060" name="image4.jpg"/>
          <a:graphic>
            <a:graphicData uri="http://schemas.openxmlformats.org/drawingml/2006/picture">
              <pic:pic>
                <pic:nvPicPr>
                  <pic:cNvPr descr="C:\Users\user\Dropbox\OTDK 2017\Szervezés\logók\ntp_72_rgb.jpg"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740" cy="388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ind w:left="0" w:hanging="2"/>
      <w:jc w:val="center"/>
      <w:rPr>
        <w:rFonts w:ascii="Garamond" w:cs="Garamond" w:eastAsia="Garamond" w:hAnsi="Garamond"/>
        <w:b w:val="1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rtl w:val="0"/>
      </w:rPr>
      <w:t xml:space="preserve">Pécsi Tudományegyetem Bölcsészet- és Társadalomtudományi Kar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4911725</wp:posOffset>
              </wp:positionH>
              <wp:positionV relativeFrom="paragraph">
                <wp:posOffset>34925</wp:posOffset>
              </wp:positionV>
              <wp:extent cx="882015" cy="838200"/>
              <wp:wrapNone/>
              <wp:docPr id="105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3C0" w:rsidDel="00000000" w:rsidP="001B1CE0" w:rsidRDefault="009663C0" w:rsidRPr="00000000" w14:paraId="6FFAA467" w14:textId="77777777">
                          <w:pPr>
                            <w:spacing w:line="1" w:lineRule="atLeast"/>
                            <w:ind w:left="0" w:hanging="2"/>
                          </w:pPr>
                          <w:r w:rsidDel="FFFFFFFF" w:rsidR="00000000" w:rsidRPr="12349471">
                            <w:rPr>
                              <w:noProof w:val="1"/>
                              <w:szCs w:val="20"/>
                              <w:lang w:eastAsia="hu-HU"/>
                              <w:specVanish w:val="1"/>
                            </w:rPr>
                            <w:drawing>
                              <wp:inline distB="0" distT="0" distL="114300" distR="114300">
                                <wp:extent cx="760095" cy="808990"/>
                                <wp:effectExtent b="0" l="0" r="0" t="0"/>
                                <wp:docPr id="1029" name="Kép 1029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9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760095" cy="808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63C0" w:rsidDel="00000000" w:rsidP="001B1CE0" w:rsidRDefault="009663C0" w:rsidRPr="00000000" w14:paraId="7D8206EA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  <w:p w:rsidR="009663C0" w:rsidDel="00000000" w:rsidP="00000000" w:rsidRDefault="009663C0" w:rsidRPr="00000000" w14:paraId="005036D3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4911725</wp:posOffset>
              </wp:positionH>
              <wp:positionV relativeFrom="paragraph">
                <wp:posOffset>34925</wp:posOffset>
              </wp:positionV>
              <wp:extent cx="882015" cy="838200"/>
              <wp:effectExtent b="0" l="0" r="0" t="0"/>
              <wp:wrapNone/>
              <wp:docPr id="1056" name="image7.jpg"/>
              <a:graphic>
                <a:graphicData uri="http://schemas.openxmlformats.org/drawingml/2006/picture">
                  <pic:pic>
                    <pic:nvPicPr>
                      <pic:cNvPr id="0" name="image7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015" cy="838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-22220</wp:posOffset>
              </wp:positionH>
              <wp:positionV relativeFrom="paragraph">
                <wp:posOffset>34925</wp:posOffset>
              </wp:positionV>
              <wp:extent cx="882015" cy="800100"/>
              <wp:wrapNone/>
              <wp:docPr id="1055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01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3C0" w:rsidDel="00000000" w:rsidP="001B1CE0" w:rsidRDefault="009663C0" w:rsidRPr="00000000" w14:paraId="4BFF9864" w14:textId="77777777">
                          <w:pPr>
                            <w:spacing w:line="1" w:lineRule="atLeast"/>
                            <w:ind w:left="0" w:hanging="2"/>
                          </w:pPr>
                          <w:r w:rsidDel="FFFFFFFF" w:rsidR="00000000" w:rsidRPr="07698387">
                            <w:rPr>
                              <w:noProof w:val="1"/>
                              <w:lang w:eastAsia="hu-HU"/>
                              <w:specVanish w:val="1"/>
                            </w:rPr>
                            <w:drawing>
                              <wp:inline distB="0" distT="0" distL="114300" distR="114300">
                                <wp:extent cx="688975" cy="679450"/>
                                <wp:effectExtent b="0" l="0" r="0" t="0"/>
                                <wp:docPr id="1030" name="Kép 1030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3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688975" cy="679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63C0" w:rsidDel="00000000" w:rsidP="001B1CE0" w:rsidRDefault="009663C0" w:rsidRPr="00000000" w14:paraId="27860939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  <w:p w:rsidR="009663C0" w:rsidDel="00000000" w:rsidP="00000000" w:rsidRDefault="009663C0" w:rsidRPr="00000000" w14:paraId="5C1CA1D4" w14:textId="77777777">
                          <w:pPr>
                            <w:spacing w:line="1" w:lineRule="atLeast"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-22220</wp:posOffset>
              </wp:positionH>
              <wp:positionV relativeFrom="paragraph">
                <wp:posOffset>34925</wp:posOffset>
              </wp:positionV>
              <wp:extent cx="882015" cy="800100"/>
              <wp:effectExtent b="0" l="0" r="0" t="0"/>
              <wp:wrapNone/>
              <wp:docPr id="1055" name="image5.jpg"/>
              <a:graphic>
                <a:graphicData uri="http://schemas.openxmlformats.org/drawingml/2006/picture">
                  <pic:pic>
                    <pic:nvPicPr>
                      <pic:cNvPr id="0" name="image5.jp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201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keepNext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right" w:leader="none" w:pos="7797"/>
      </w:tabs>
      <w:spacing w:after="0" w:line="240" w:lineRule="auto"/>
      <w:ind w:left="0" w:right="281" w:hanging="2"/>
      <w:jc w:val="center"/>
      <w:rPr>
        <w:rFonts w:ascii="Times New Roman" w:cs="Times New Roman" w:eastAsia="Times New Roman" w:hAnsi="Times New Roman"/>
        <w:b w:val="1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rtl w:val="0"/>
      </w:rPr>
      <w:t xml:space="preserve">Kari Tudományos Diákköri Tanács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72"/>
      </w:tabs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7624 Pécs, Ifjúság u. 6.</w:t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rtl w:val="0"/>
      </w:rPr>
      <w:t xml:space="preserve">E-mail: ktdt.btk.pte@gmail.com, https://btk.pte.hu/hu/ktdt</w:t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jc w:val="center"/>
      <w:rPr>
        <w:rFonts w:ascii="Garamond" w:cs="Garamond" w:eastAsia="Garamond" w:hAnsi="Garamond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spacing w:after="60" w:before="240" w:line="240" w:lineRule="auto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szerbekezds">
    <w:name w:val="List Paragraph"/>
    <w:basedOn w:val="Norml"/>
    <w:pPr>
      <w:ind w:left="720"/>
      <w:contextualSpacing w:val="1"/>
    </w:pPr>
  </w:style>
  <w:style w:type="character" w:styleId="Hiperhivatkozs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msor2Char" w:customStyle="1">
    <w:name w:val="Címsor 2 Char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lfej">
    <w:name w:val="header"/>
    <w:basedOn w:val="Norml"/>
    <w:qFormat w:val="1"/>
    <w:pPr>
      <w:tabs>
        <w:tab w:val="center" w:pos="4536"/>
        <w:tab w:val="right" w:pos="9072"/>
      </w:tabs>
    </w:pPr>
  </w:style>
  <w:style w:type="character" w:styleId="lfejChar" w:customStyle="1">
    <w:name w:val="Élőfej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lb">
    <w:name w:val="footer"/>
    <w:basedOn w:val="Norml"/>
    <w:qFormat w:val="1"/>
    <w:pPr>
      <w:tabs>
        <w:tab w:val="center" w:pos="4536"/>
        <w:tab w:val="right" w:pos="9072"/>
      </w:tabs>
    </w:pPr>
  </w:style>
  <w:style w:type="character" w:styleId="llbChar" w:customStyle="1">
    <w:name w:val="Élőláb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uborkszveg">
    <w:name w:val="Balloon Text"/>
    <w:basedOn w:val="Norm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Mrltotthiperhivatkozs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Vltozat">
    <w:name w:val="Revision"/>
    <w:hidden w:val="1"/>
    <w:uiPriority w:val="99"/>
    <w:semiHidden w:val="1"/>
    <w:rsid w:val="001747DD"/>
    <w:rPr>
      <w:position w:val="-1"/>
      <w:lang w:eastAsia="en-US"/>
    </w:r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E022E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E022E2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E022E2"/>
    <w:rPr>
      <w:position w:val="-1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E022E2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E022E2"/>
    <w:rPr>
      <w:b w:val="1"/>
      <w:bCs w:val="1"/>
      <w:position w:val="-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i.ppk.elte.hu/dstore/document/4459/APA%207.pdf" TargetMode="External"/><Relationship Id="rId10" Type="http://schemas.openxmlformats.org/officeDocument/2006/relationships/hyperlink" Target="http://ojs.elte.hu/gyermekneveles/stylesheet" TargetMode="External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tdk.hu/szekcio-felhivasok" TargetMode="External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18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8.jpg"/><Relationship Id="rId5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7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Xj7Qf3d0fsFWSvBxAZejwiwhmA==">CgMxLjAyCGguZ2pkZ3hzOAByITFDYXkzeEp2ZW8yRzZJZEFwcm5lcU9RZ3lJaGtoME95WA==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2024-06-25T13:29:00Z</dcterms:created>
  <dc:creator>Czeferner Dóra</dc:creator>
</cp:coreProperties>
</file>